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40E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012508">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3114483">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03.080.30</w:t>
            </w:r>
            <w:r>
              <w:rPr>
                <w:rFonts w:ascii="黑体" w:hAnsi="黑体" w:eastAsia="黑体"/>
                <w:sz w:val="21"/>
                <w:szCs w:val="21"/>
              </w:rPr>
              <w:fldChar w:fldCharType="end"/>
            </w:r>
            <w:bookmarkEnd w:id="0"/>
          </w:p>
        </w:tc>
      </w:tr>
      <w:tr w14:paraId="14C7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322971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E4AA8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4C06439">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p>
              </w:tc>
            </w:tr>
          </w:tbl>
          <w:p w14:paraId="1EAF787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 55</w:t>
            </w:r>
            <w:r>
              <w:rPr>
                <w:rFonts w:ascii="黑体" w:hAnsi="黑体" w:eastAsia="黑体"/>
                <w:sz w:val="21"/>
                <w:szCs w:val="21"/>
              </w:rPr>
              <w:fldChar w:fldCharType="end"/>
            </w:r>
            <w:bookmarkEnd w:id="1"/>
          </w:p>
        </w:tc>
      </w:tr>
    </w:tbl>
    <w:p w14:paraId="1E3547D0">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lang w:val="en-US" w:eastAsia="zh-CN"/>
        </w:rPr>
        <w:t>四川省体育场馆协会</w:t>
      </w:r>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6CC9256">
      <w:pPr>
        <w:pStyle w:val="196"/>
        <w:rPr>
          <w:rFonts w:hint="default" w:eastAsia="黑体"/>
          <w:lang w:val="en-US"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SCSVA</w:t>
      </w:r>
      <w:r>
        <w:fldChar w:fldCharType="end"/>
      </w:r>
      <w:bookmarkEnd w:id="3"/>
      <w:r>
        <w:t xml:space="preserve"> </w:t>
      </w:r>
      <w:r>
        <w:rPr>
          <w:rFonts w:hint="eastAsia"/>
          <w:lang w:val="en-US" w:eastAsia="zh-CN"/>
        </w:rPr>
        <w:t>0007.2</w:t>
      </w:r>
      <w:r>
        <w:rPr>
          <w:rFonts w:hAnsi="黑体"/>
        </w:rPr>
        <w:t>—</w:t>
      </w:r>
      <w:r>
        <w:rPr>
          <w:rFonts w:hint="eastAsia"/>
          <w:lang w:val="en-US" w:eastAsia="zh-CN"/>
        </w:rPr>
        <w:t>2026</w:t>
      </w:r>
    </w:p>
    <w:p w14:paraId="14D0B473">
      <w:pPr>
        <w:pStyle w:val="197"/>
        <w:pBdr>
          <w:top w:val="none" w:color="auto" w:sz="0" w:space="0"/>
          <w:left w:val="none" w:color="auto" w:sz="0" w:space="0"/>
          <w:bottom w:val="none" w:color="auto" w:sz="0" w:space="0"/>
          <w:right w:val="none" w:color="auto" w:sz="0" w:space="0"/>
        </w:pBdr>
        <w:rPr>
          <w:rFonts w:hint="default" w:hAnsi="黑体" w:eastAsia="黑体"/>
          <w:lang w:val="en-US" w:eastAsia="zh-CN"/>
        </w:rPr>
      </w:pPr>
      <w:r>
        <w:rPr>
          <w:rFonts w:hint="eastAsia" w:hAnsi="黑体"/>
          <w:lang w:val="en-US" w:eastAsia="zh-CN"/>
        </w:rPr>
        <w:t>代替T/SCSVA 0004.2-2024</w:t>
      </w:r>
    </w:p>
    <w:p w14:paraId="6E65D6DB">
      <w:pPr>
        <w:pStyle w:val="197"/>
        <w:rPr>
          <w:rFonts w:hAnsi="黑体"/>
        </w:rPr>
      </w:pPr>
    </w:p>
    <w:p w14:paraId="1C3BBD0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DDA9303">
      <w:pPr>
        <w:pStyle w:val="51"/>
        <w:framePr w:w="9639" w:h="6976" w:hRule="exact" w:hSpace="0" w:vSpace="0" w:wrap="around" w:hAnchor="page" w:y="6408"/>
        <w:jc w:val="center"/>
        <w:rPr>
          <w:rFonts w:ascii="黑体" w:hAnsi="黑体" w:eastAsia="黑体"/>
          <w:b w:val="0"/>
          <w:bCs w:val="0"/>
          <w:w w:val="100"/>
        </w:rPr>
      </w:pPr>
    </w:p>
    <w:p w14:paraId="03131C03">
      <w:pPr>
        <w:pStyle w:val="198"/>
        <w:framePr w:h="6974" w:hRule="exact" w:wrap="around" w:x="1419" w:anchorLock="1"/>
        <w:rPr>
          <w:rFonts w:hint="eastAsia"/>
          <w:lang w:eastAsia="zh-CN"/>
        </w:rPr>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rPr>
          <w:rFonts w:hint="eastAsia"/>
          <w:lang w:eastAsia="zh-CN"/>
        </w:rPr>
        <w:t>健身场所管理运营服务等级划分与评定</w:t>
      </w:r>
    </w:p>
    <w:p w14:paraId="132E4414">
      <w:pPr>
        <w:pStyle w:val="198"/>
        <w:framePr w:h="6974" w:hRule="exact" w:wrap="around" w:x="1419" w:anchorLock="1"/>
        <w:jc w:val="center"/>
      </w:pPr>
      <w:r>
        <w:rPr>
          <w:rFonts w:hint="eastAsia"/>
          <w:lang w:eastAsia="zh-CN"/>
        </w:rPr>
        <w:t>第2 部分：游泳池（馆）</w:t>
      </w:r>
      <w:r>
        <w:fldChar w:fldCharType="end"/>
      </w:r>
      <w:bookmarkEnd w:id="4"/>
    </w:p>
    <w:p w14:paraId="4742BD67">
      <w:pPr>
        <w:framePr w:w="9639" w:h="6974" w:hRule="exact" w:wrap="around" w:vAnchor="page" w:hAnchor="page" w:x="1419" w:y="6408" w:anchorLock="1"/>
        <w:ind w:left="-1418"/>
      </w:pPr>
    </w:p>
    <w:p w14:paraId="49C463C5">
      <w:pPr>
        <w:pStyle w:val="126"/>
        <w:framePr w:w="9639" w:h="6974" w:hRule="exact" w:wrap="around" w:vAnchor="page" w:hAnchor="page" w:x="1419" w:y="6408" w:anchorLock="1"/>
        <w:textAlignment w:val="bottom"/>
        <w:rPr>
          <w:rFonts w:eastAsia="黑体"/>
          <w:szCs w:val="28"/>
        </w:rPr>
      </w:pPr>
    </w:p>
    <w:p w14:paraId="63CB6C5E">
      <w:pPr>
        <w:framePr w:w="9639" w:h="6974" w:hRule="exact" w:wrap="around" w:vAnchor="page" w:hAnchor="page" w:x="1419" w:y="6408" w:anchorLock="1"/>
        <w:spacing w:line="760" w:lineRule="exact"/>
        <w:ind w:left="-1418"/>
      </w:pPr>
    </w:p>
    <w:p w14:paraId="4E1722E2">
      <w:pPr>
        <w:pStyle w:val="126"/>
        <w:framePr w:w="9639" w:h="6974" w:hRule="exact" w:wrap="around" w:vAnchor="page" w:hAnchor="page" w:x="1419" w:y="6408" w:anchorLock="1"/>
        <w:textAlignment w:val="bottom"/>
        <w:rPr>
          <w:rFonts w:eastAsia="黑体"/>
          <w:szCs w:val="28"/>
        </w:rPr>
      </w:pPr>
    </w:p>
    <w:p w14:paraId="6D3E01AF">
      <w:pPr>
        <w:pStyle w:val="126"/>
        <w:framePr w:w="9639" w:h="6974" w:hRule="exact" w:wrap="around" w:vAnchor="page" w:hAnchor="page" w:x="1419" w:y="6408" w:anchorLock="1"/>
        <w:spacing w:before="440" w:after="160"/>
        <w:textAlignment w:val="bottom"/>
        <w:rPr>
          <w:sz w:val="24"/>
          <w:szCs w:val="28"/>
        </w:rPr>
      </w:pPr>
    </w:p>
    <w:p w14:paraId="7879F2A8">
      <w:pPr>
        <w:pStyle w:val="126"/>
        <w:framePr w:w="9639" w:h="6974" w:hRule="exact" w:wrap="around" w:vAnchor="page" w:hAnchor="page" w:x="1419" w:y="6408" w:anchorLock="1"/>
        <w:spacing w:before="180" w:line="240" w:lineRule="atLeast"/>
        <w:textAlignment w:val="bottom"/>
        <w:rPr>
          <w:sz w:val="21"/>
          <w:szCs w:val="28"/>
        </w:rPr>
      </w:pPr>
    </w:p>
    <w:p w14:paraId="40AD8297">
      <w:pPr>
        <w:pStyle w:val="126"/>
        <w:framePr w:w="9639" w:h="6974" w:hRule="exact" w:wrap="around" w:vAnchor="page" w:hAnchor="page" w:x="1419" w:y="6408" w:anchorLock="1"/>
        <w:spacing w:before="720" w:beforeLines="300" w:after="72" w:afterLines="30" w:line="240" w:lineRule="auto"/>
        <w:textAlignment w:val="bottom"/>
        <w:rPr>
          <w:b/>
          <w:sz w:val="21"/>
          <w:szCs w:val="28"/>
        </w:rPr>
      </w:pPr>
      <w:bookmarkStart w:id="47" w:name="_GoBack"/>
      <w:bookmarkEnd w:id="47"/>
    </w:p>
    <w:p w14:paraId="270450AF">
      <w:pPr>
        <w:pStyle w:val="194"/>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5"/>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发布</w:t>
      </w:r>
    </w:p>
    <w:p w14:paraId="4C240AA6">
      <w:pPr>
        <w:pStyle w:val="195"/>
        <w:framePr w:wrap="around" w:y="14176"/>
      </w:pPr>
      <w:r>
        <w:rPr>
          <w:rFonts w:ascii="黑体"/>
        </w:rPr>
        <w:fldChar w:fldCharType="begin">
          <w:ffData>
            <w:name w:val="CROT_DATE_Y"/>
            <w:enabled/>
            <w:calcOnExit w:val="0"/>
            <w:textInput>
              <w:default w:val="XXXX"/>
              <w:maxLength w:val="4"/>
            </w:textInput>
          </w:ffData>
        </w:fldChar>
      </w:r>
      <w:bookmarkStart w:id="6" w:name="CROT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6"/>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实施</w:t>
      </w:r>
    </w:p>
    <w:p w14:paraId="39EFAC02">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7" w:name="fm"/>
      <w:r>
        <w:rPr>
          <w:rFonts w:hAnsi="黑体"/>
          <w:w w:val="100"/>
          <w:sz w:val="28"/>
        </w:rPr>
        <w:instrText xml:space="preserve"> FORMTEXT </w:instrText>
      </w:r>
      <w:r>
        <w:rPr>
          <w:rFonts w:hAnsi="黑体"/>
          <w:w w:val="100"/>
          <w:sz w:val="28"/>
        </w:rPr>
        <w:fldChar w:fldCharType="separate"/>
      </w:r>
      <w:r>
        <w:rPr>
          <w:rFonts w:hint="eastAsia" w:hAnsi="黑体"/>
          <w:w w:val="100"/>
          <w:sz w:val="28"/>
        </w:rPr>
        <w:t>四川省体育场馆协会</w:t>
      </w:r>
      <w:r>
        <w:rPr>
          <w:rFonts w:hAnsi="黑体"/>
          <w:w w:val="100"/>
          <w:sz w:val="28"/>
        </w:rPr>
        <w:fldChar w:fldCharType="end"/>
      </w:r>
      <w:bookmarkEnd w:id="7"/>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0C0303AB">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B159D51">
      <w:pPr>
        <w:pStyle w:val="92"/>
        <w:spacing w:after="360"/>
      </w:pPr>
      <w:bookmarkStart w:id="8" w:name="BookMark1"/>
      <w:r>
        <w:rPr>
          <w:rFonts w:hint="eastAsia"/>
          <w:spacing w:val="320"/>
        </w:rPr>
        <w:t>目</w:t>
      </w:r>
      <w:r>
        <w:rPr>
          <w:rFonts w:hint="eastAsia"/>
        </w:rPr>
        <w:t>次</w:t>
      </w:r>
    </w:p>
    <w:p w14:paraId="4BF2FE94">
      <w:pPr>
        <w:pStyle w:val="19"/>
        <w:tabs>
          <w:tab w:val="right" w:leader="dot" w:pos="9354"/>
        </w:tabs>
      </w:pPr>
      <w:r>
        <w:fldChar w:fldCharType="begin"/>
      </w:r>
      <w:r>
        <w:instrText xml:space="preserve"> TOC \o "1-1" \h </w:instrText>
      </w:r>
      <w:r>
        <w:fldChar w:fldCharType="separate"/>
      </w:r>
      <w:r>
        <w:fldChar w:fldCharType="begin"/>
      </w:r>
      <w:r>
        <w:instrText xml:space="preserve"> HYPERLINK \l "_Toc1127" </w:instrText>
      </w:r>
      <w:r>
        <w:fldChar w:fldCharType="separate"/>
      </w:r>
      <w:r>
        <w:rPr>
          <w:rFonts w:hint="eastAsia"/>
          <w:spacing w:val="320"/>
        </w:rPr>
        <w:t>前</w:t>
      </w:r>
      <w:r>
        <w:rPr>
          <w:rFonts w:hint="eastAsia"/>
        </w:rPr>
        <w:t>言</w:t>
      </w:r>
      <w:r>
        <w:tab/>
      </w:r>
      <w:r>
        <w:fldChar w:fldCharType="begin"/>
      </w:r>
      <w:r>
        <w:instrText xml:space="preserve"> PAGEREF _Toc1127 \h </w:instrText>
      </w:r>
      <w:r>
        <w:fldChar w:fldCharType="separate"/>
      </w:r>
      <w:r>
        <w:t>II</w:t>
      </w:r>
      <w:r>
        <w:fldChar w:fldCharType="end"/>
      </w:r>
      <w:r>
        <w:fldChar w:fldCharType="end"/>
      </w:r>
    </w:p>
    <w:p w14:paraId="0C7008FD">
      <w:pPr>
        <w:pStyle w:val="19"/>
        <w:tabs>
          <w:tab w:val="right" w:leader="dot" w:pos="9354"/>
        </w:tabs>
      </w:pPr>
      <w:r>
        <w:fldChar w:fldCharType="begin"/>
      </w:r>
      <w:r>
        <w:instrText xml:space="preserve"> HYPERLINK \l "_Toc3504" </w:instrText>
      </w:r>
      <w:r>
        <w:fldChar w:fldCharType="separate"/>
      </w:r>
      <w:r>
        <w:rPr>
          <w:rFonts w:hint="eastAsia" w:ascii="黑体" w:eastAsia="黑体"/>
        </w:rPr>
        <w:t xml:space="preserve">1 </w:t>
      </w:r>
      <w:r>
        <w:rPr>
          <w:rFonts w:hint="eastAsia"/>
        </w:rPr>
        <w:t>范围</w:t>
      </w:r>
      <w:r>
        <w:tab/>
      </w:r>
      <w:r>
        <w:fldChar w:fldCharType="begin"/>
      </w:r>
      <w:r>
        <w:instrText xml:space="preserve"> PAGEREF _Toc3504 \h </w:instrText>
      </w:r>
      <w:r>
        <w:fldChar w:fldCharType="separate"/>
      </w:r>
      <w:r>
        <w:t>3</w:t>
      </w:r>
      <w:r>
        <w:fldChar w:fldCharType="end"/>
      </w:r>
      <w:r>
        <w:fldChar w:fldCharType="end"/>
      </w:r>
    </w:p>
    <w:p w14:paraId="655A0684">
      <w:pPr>
        <w:pStyle w:val="19"/>
        <w:tabs>
          <w:tab w:val="right" w:leader="dot" w:pos="9354"/>
        </w:tabs>
      </w:pPr>
      <w:r>
        <w:fldChar w:fldCharType="begin"/>
      </w:r>
      <w:r>
        <w:instrText xml:space="preserve"> HYPERLINK \l "_Toc7572"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_Toc7572 \h </w:instrText>
      </w:r>
      <w:r>
        <w:fldChar w:fldCharType="separate"/>
      </w:r>
      <w:r>
        <w:t>3</w:t>
      </w:r>
      <w:r>
        <w:fldChar w:fldCharType="end"/>
      </w:r>
      <w:r>
        <w:fldChar w:fldCharType="end"/>
      </w:r>
    </w:p>
    <w:p w14:paraId="6897D7BA">
      <w:pPr>
        <w:pStyle w:val="19"/>
        <w:tabs>
          <w:tab w:val="right" w:leader="dot" w:pos="9354"/>
        </w:tabs>
      </w:pPr>
      <w:r>
        <w:fldChar w:fldCharType="begin"/>
      </w:r>
      <w:r>
        <w:instrText xml:space="preserve"> HYPERLINK \l "_Toc13215"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_Toc13215 \h </w:instrText>
      </w:r>
      <w:r>
        <w:fldChar w:fldCharType="separate"/>
      </w:r>
      <w:r>
        <w:t>3</w:t>
      </w:r>
      <w:r>
        <w:fldChar w:fldCharType="end"/>
      </w:r>
      <w:r>
        <w:fldChar w:fldCharType="end"/>
      </w:r>
    </w:p>
    <w:p w14:paraId="3E5879B3">
      <w:pPr>
        <w:pStyle w:val="19"/>
        <w:tabs>
          <w:tab w:val="right" w:leader="dot" w:pos="9354"/>
        </w:tabs>
        <w:rPr>
          <w:highlight w:val="none"/>
        </w:rPr>
      </w:pPr>
      <w:r>
        <w:rPr>
          <w:highlight w:val="none"/>
        </w:rPr>
        <w:fldChar w:fldCharType="begin"/>
      </w:r>
      <w:r>
        <w:rPr>
          <w:highlight w:val="none"/>
        </w:rPr>
        <w:instrText xml:space="preserve"> HYPERLINK \l "_Toc1415" </w:instrText>
      </w:r>
      <w:r>
        <w:rPr>
          <w:highlight w:val="none"/>
        </w:rPr>
        <w:fldChar w:fldCharType="separate"/>
      </w:r>
      <w:r>
        <w:rPr>
          <w:rFonts w:hint="eastAsia" w:ascii="黑体" w:eastAsia="黑体"/>
          <w:highlight w:val="none"/>
        </w:rPr>
        <w:t xml:space="preserve">4 </w:t>
      </w:r>
      <w:r>
        <w:rPr>
          <w:rFonts w:hint="eastAsia"/>
          <w:highlight w:val="none"/>
        </w:rPr>
        <w:t>划分原则</w:t>
      </w:r>
      <w:r>
        <w:rPr>
          <w:highlight w:val="none"/>
        </w:rPr>
        <w:tab/>
      </w:r>
      <w:r>
        <w:rPr>
          <w:highlight w:val="none"/>
        </w:rPr>
        <w:fldChar w:fldCharType="begin"/>
      </w:r>
      <w:r>
        <w:rPr>
          <w:highlight w:val="none"/>
        </w:rPr>
        <w:instrText xml:space="preserve"> PAGEREF _Toc1415 \h </w:instrText>
      </w:r>
      <w:r>
        <w:rPr>
          <w:highlight w:val="none"/>
        </w:rPr>
        <w:fldChar w:fldCharType="separate"/>
      </w:r>
      <w:r>
        <w:rPr>
          <w:highlight w:val="none"/>
        </w:rPr>
        <w:t>3</w:t>
      </w:r>
      <w:r>
        <w:rPr>
          <w:highlight w:val="none"/>
        </w:rPr>
        <w:fldChar w:fldCharType="end"/>
      </w:r>
      <w:r>
        <w:rPr>
          <w:highlight w:val="none"/>
        </w:rPr>
        <w:fldChar w:fldCharType="end"/>
      </w:r>
    </w:p>
    <w:p w14:paraId="45C2090F">
      <w:pPr>
        <w:pStyle w:val="19"/>
        <w:tabs>
          <w:tab w:val="right" w:leader="dot" w:pos="9354"/>
        </w:tabs>
        <w:rPr>
          <w:highlight w:val="none"/>
        </w:rPr>
      </w:pPr>
      <w:r>
        <w:rPr>
          <w:highlight w:val="none"/>
        </w:rPr>
        <w:fldChar w:fldCharType="begin"/>
      </w:r>
      <w:r>
        <w:rPr>
          <w:highlight w:val="none"/>
        </w:rPr>
        <w:instrText xml:space="preserve"> HYPERLINK \l "_Toc25637" </w:instrText>
      </w:r>
      <w:r>
        <w:rPr>
          <w:highlight w:val="none"/>
        </w:rPr>
        <w:fldChar w:fldCharType="separate"/>
      </w:r>
      <w:r>
        <w:rPr>
          <w:rFonts w:hint="eastAsia" w:ascii="黑体" w:eastAsia="黑体"/>
          <w:highlight w:val="none"/>
        </w:rPr>
        <w:t xml:space="preserve">5 </w:t>
      </w:r>
      <w:r>
        <w:rPr>
          <w:rFonts w:hint="eastAsia"/>
          <w:highlight w:val="none"/>
        </w:rPr>
        <w:t>星级的划分</w:t>
      </w:r>
      <w:r>
        <w:rPr>
          <w:highlight w:val="none"/>
        </w:rPr>
        <w:tab/>
      </w:r>
      <w:r>
        <w:rPr>
          <w:highlight w:val="none"/>
        </w:rPr>
        <w:fldChar w:fldCharType="begin"/>
      </w:r>
      <w:r>
        <w:rPr>
          <w:highlight w:val="none"/>
        </w:rPr>
        <w:instrText xml:space="preserve"> PAGEREF _Toc25637 \h </w:instrText>
      </w:r>
      <w:r>
        <w:rPr>
          <w:highlight w:val="none"/>
        </w:rPr>
        <w:fldChar w:fldCharType="separate"/>
      </w:r>
      <w:r>
        <w:rPr>
          <w:highlight w:val="none"/>
        </w:rPr>
        <w:t>3</w:t>
      </w:r>
      <w:r>
        <w:rPr>
          <w:highlight w:val="none"/>
        </w:rPr>
        <w:fldChar w:fldCharType="end"/>
      </w:r>
      <w:r>
        <w:rPr>
          <w:highlight w:val="none"/>
        </w:rPr>
        <w:fldChar w:fldCharType="end"/>
      </w:r>
    </w:p>
    <w:p w14:paraId="577E1E13">
      <w:pPr>
        <w:pStyle w:val="19"/>
        <w:tabs>
          <w:tab w:val="right" w:leader="dot" w:pos="9354"/>
        </w:tabs>
        <w:rPr>
          <w:highlight w:val="none"/>
        </w:rPr>
      </w:pPr>
      <w:r>
        <w:rPr>
          <w:highlight w:val="none"/>
        </w:rPr>
        <w:fldChar w:fldCharType="begin"/>
      </w:r>
      <w:r>
        <w:rPr>
          <w:highlight w:val="none"/>
        </w:rPr>
        <w:instrText xml:space="preserve"> HYPERLINK \l "_Toc23039" </w:instrText>
      </w:r>
      <w:r>
        <w:rPr>
          <w:highlight w:val="none"/>
        </w:rPr>
        <w:fldChar w:fldCharType="separate"/>
      </w:r>
      <w:r>
        <w:rPr>
          <w:rFonts w:hint="eastAsia" w:ascii="黑体" w:eastAsia="黑体"/>
          <w:highlight w:val="none"/>
        </w:rPr>
        <w:t xml:space="preserve">6 </w:t>
      </w:r>
      <w:r>
        <w:rPr>
          <w:rFonts w:hint="eastAsia"/>
          <w:highlight w:val="none"/>
        </w:rPr>
        <w:t>星级的划分依据</w:t>
      </w:r>
      <w:r>
        <w:rPr>
          <w:highlight w:val="none"/>
        </w:rPr>
        <w:tab/>
      </w:r>
      <w:r>
        <w:rPr>
          <w:highlight w:val="none"/>
        </w:rPr>
        <w:fldChar w:fldCharType="begin"/>
      </w:r>
      <w:r>
        <w:rPr>
          <w:highlight w:val="none"/>
        </w:rPr>
        <w:instrText xml:space="preserve"> PAGEREF _Toc23039 \h </w:instrText>
      </w:r>
      <w:r>
        <w:rPr>
          <w:highlight w:val="none"/>
        </w:rPr>
        <w:fldChar w:fldCharType="separate"/>
      </w:r>
      <w:r>
        <w:rPr>
          <w:highlight w:val="none"/>
        </w:rPr>
        <w:t>3</w:t>
      </w:r>
      <w:r>
        <w:rPr>
          <w:highlight w:val="none"/>
        </w:rPr>
        <w:fldChar w:fldCharType="end"/>
      </w:r>
      <w:r>
        <w:rPr>
          <w:highlight w:val="none"/>
        </w:rPr>
        <w:fldChar w:fldCharType="end"/>
      </w:r>
    </w:p>
    <w:p w14:paraId="69D14682">
      <w:pPr>
        <w:pStyle w:val="19"/>
        <w:tabs>
          <w:tab w:val="right" w:leader="dot" w:pos="9354"/>
        </w:tabs>
        <w:rPr>
          <w:highlight w:val="none"/>
        </w:rPr>
      </w:pPr>
      <w:r>
        <w:rPr>
          <w:highlight w:val="none"/>
        </w:rPr>
        <w:fldChar w:fldCharType="begin"/>
      </w:r>
      <w:r>
        <w:rPr>
          <w:highlight w:val="none"/>
        </w:rPr>
        <w:instrText xml:space="preserve"> HYPERLINK \l "_Toc22340" </w:instrText>
      </w:r>
      <w:r>
        <w:rPr>
          <w:highlight w:val="none"/>
        </w:rPr>
        <w:fldChar w:fldCharType="separate"/>
      </w:r>
      <w:r>
        <w:rPr>
          <w:rFonts w:hint="eastAsia" w:ascii="黑体" w:eastAsia="黑体"/>
          <w:highlight w:val="none"/>
        </w:rPr>
        <w:t xml:space="preserve">7 </w:t>
      </w:r>
      <w:r>
        <w:rPr>
          <w:rFonts w:hint="eastAsia"/>
          <w:highlight w:val="none"/>
        </w:rPr>
        <w:t>星级评定与管理</w:t>
      </w:r>
      <w:r>
        <w:rPr>
          <w:highlight w:val="none"/>
        </w:rPr>
        <w:tab/>
      </w:r>
      <w:r>
        <w:rPr>
          <w:highlight w:val="none"/>
        </w:rPr>
        <w:fldChar w:fldCharType="begin"/>
      </w:r>
      <w:r>
        <w:rPr>
          <w:highlight w:val="none"/>
        </w:rPr>
        <w:instrText xml:space="preserve"> PAGEREF _Toc22340 \h </w:instrText>
      </w:r>
      <w:r>
        <w:rPr>
          <w:highlight w:val="none"/>
        </w:rPr>
        <w:fldChar w:fldCharType="separate"/>
      </w:r>
      <w:r>
        <w:rPr>
          <w:highlight w:val="none"/>
        </w:rPr>
        <w:t>4</w:t>
      </w:r>
      <w:r>
        <w:rPr>
          <w:highlight w:val="none"/>
        </w:rPr>
        <w:fldChar w:fldCharType="end"/>
      </w:r>
      <w:r>
        <w:rPr>
          <w:highlight w:val="none"/>
        </w:rPr>
        <w:fldChar w:fldCharType="end"/>
      </w:r>
    </w:p>
    <w:p w14:paraId="2B799309">
      <w:pPr>
        <w:pStyle w:val="19"/>
        <w:tabs>
          <w:tab w:val="right" w:leader="dot" w:pos="9354"/>
        </w:tabs>
        <w:rPr>
          <w:highlight w:val="none"/>
        </w:rPr>
      </w:pPr>
      <w:r>
        <w:rPr>
          <w:highlight w:val="none"/>
        </w:rPr>
        <w:fldChar w:fldCharType="begin"/>
      </w:r>
      <w:r>
        <w:rPr>
          <w:highlight w:val="none"/>
        </w:rPr>
        <w:instrText xml:space="preserve"> HYPERLINK \l "_Toc18219" </w:instrText>
      </w:r>
      <w:r>
        <w:rPr>
          <w:highlight w:val="none"/>
        </w:rPr>
        <w:fldChar w:fldCharType="separate"/>
      </w:r>
      <w:r>
        <w:rPr>
          <w:rFonts w:hint="eastAsia"/>
          <w:highlight w:val="none"/>
        </w:rPr>
        <w:t>附录A</w:t>
      </w:r>
      <w:r>
        <w:rPr>
          <w:highlight w:val="none"/>
        </w:rPr>
        <w:t xml:space="preserve"> </w:t>
      </w:r>
      <w:r>
        <w:rPr>
          <w:rFonts w:hint="eastAsia"/>
          <w:highlight w:val="none"/>
        </w:rPr>
        <w:t>游泳池（馆）基本条件合格性评估表</w:t>
      </w:r>
      <w:r>
        <w:rPr>
          <w:highlight w:val="none"/>
        </w:rPr>
        <w:tab/>
      </w:r>
      <w:r>
        <w:rPr>
          <w:highlight w:val="none"/>
        </w:rPr>
        <w:fldChar w:fldCharType="begin"/>
      </w:r>
      <w:r>
        <w:rPr>
          <w:highlight w:val="none"/>
        </w:rPr>
        <w:instrText xml:space="preserve"> PAGEREF _Toc18219 \h </w:instrText>
      </w:r>
      <w:r>
        <w:rPr>
          <w:highlight w:val="none"/>
        </w:rPr>
        <w:fldChar w:fldCharType="separate"/>
      </w:r>
      <w:r>
        <w:rPr>
          <w:highlight w:val="none"/>
        </w:rPr>
        <w:t>5</w:t>
      </w:r>
      <w:r>
        <w:rPr>
          <w:highlight w:val="none"/>
        </w:rPr>
        <w:fldChar w:fldCharType="end"/>
      </w:r>
      <w:r>
        <w:rPr>
          <w:highlight w:val="none"/>
        </w:rPr>
        <w:fldChar w:fldCharType="end"/>
      </w:r>
    </w:p>
    <w:p w14:paraId="5207A59B">
      <w:pPr>
        <w:pStyle w:val="19"/>
        <w:tabs>
          <w:tab w:val="right" w:leader="dot" w:pos="9354"/>
        </w:tabs>
        <w:rPr>
          <w:highlight w:val="none"/>
        </w:rPr>
      </w:pPr>
      <w:r>
        <w:rPr>
          <w:highlight w:val="none"/>
        </w:rPr>
        <w:fldChar w:fldCharType="begin"/>
      </w:r>
      <w:r>
        <w:rPr>
          <w:highlight w:val="none"/>
        </w:rPr>
        <w:instrText xml:space="preserve"> HYPERLINK \l "_Toc29634" </w:instrText>
      </w:r>
      <w:r>
        <w:rPr>
          <w:highlight w:val="none"/>
        </w:rPr>
        <w:fldChar w:fldCharType="separate"/>
      </w:r>
      <w:r>
        <w:rPr>
          <w:rFonts w:hint="eastAsia"/>
          <w:highlight w:val="none"/>
        </w:rPr>
        <w:t>附录B</w:t>
      </w:r>
      <w:r>
        <w:rPr>
          <w:rFonts w:hint="eastAsia"/>
          <w:highlight w:val="none"/>
          <w:lang w:val="en-US" w:eastAsia="zh-CN"/>
        </w:rPr>
        <w:t xml:space="preserve"> 游泳池（馆）运营管理服务质量评分表</w:t>
      </w:r>
      <w:r>
        <w:rPr>
          <w:highlight w:val="none"/>
        </w:rPr>
        <w:tab/>
      </w:r>
      <w:r>
        <w:rPr>
          <w:highlight w:val="none"/>
        </w:rPr>
        <w:fldChar w:fldCharType="begin"/>
      </w:r>
      <w:r>
        <w:rPr>
          <w:highlight w:val="none"/>
        </w:rPr>
        <w:instrText xml:space="preserve"> PAGEREF _Toc29634 \h </w:instrText>
      </w:r>
      <w:r>
        <w:rPr>
          <w:highlight w:val="none"/>
        </w:rPr>
        <w:fldChar w:fldCharType="separate"/>
      </w:r>
      <w:r>
        <w:rPr>
          <w:highlight w:val="none"/>
        </w:rPr>
        <w:t>6</w:t>
      </w:r>
      <w:r>
        <w:rPr>
          <w:highlight w:val="none"/>
        </w:rPr>
        <w:fldChar w:fldCharType="end"/>
      </w:r>
      <w:r>
        <w:rPr>
          <w:highlight w:val="none"/>
        </w:rPr>
        <w:fldChar w:fldCharType="end"/>
      </w:r>
    </w:p>
    <w:p w14:paraId="344E09B0">
      <w:pPr>
        <w:pStyle w:val="19"/>
        <w:tabs>
          <w:tab w:val="right" w:leader="dot" w:pos="9354"/>
        </w:tabs>
        <w:rPr>
          <w:highlight w:val="none"/>
        </w:rPr>
      </w:pPr>
      <w:r>
        <w:rPr>
          <w:highlight w:val="none"/>
        </w:rPr>
        <w:fldChar w:fldCharType="begin"/>
      </w:r>
      <w:r>
        <w:rPr>
          <w:highlight w:val="none"/>
        </w:rPr>
        <w:instrText xml:space="preserve"> HYPERLINK \l "_Toc7876" </w:instrText>
      </w:r>
      <w:r>
        <w:rPr>
          <w:highlight w:val="none"/>
        </w:rPr>
        <w:fldChar w:fldCharType="separate"/>
      </w:r>
      <w:r>
        <w:rPr>
          <w:rFonts w:hint="eastAsia"/>
          <w:highlight w:val="none"/>
        </w:rPr>
        <w:t>附录C</w:t>
      </w:r>
      <w:r>
        <w:rPr>
          <w:rFonts w:hint="eastAsia"/>
          <w:highlight w:val="none"/>
          <w:lang w:val="en-US" w:eastAsia="zh-CN"/>
        </w:rPr>
        <w:t xml:space="preserve"> 星级游泳池（馆）必备项目检查表</w:t>
      </w:r>
      <w:r>
        <w:rPr>
          <w:highlight w:val="none"/>
        </w:rPr>
        <w:tab/>
      </w:r>
      <w:r>
        <w:rPr>
          <w:highlight w:val="none"/>
        </w:rPr>
        <w:fldChar w:fldCharType="begin"/>
      </w:r>
      <w:r>
        <w:rPr>
          <w:highlight w:val="none"/>
        </w:rPr>
        <w:instrText xml:space="preserve"> PAGEREF _Toc7876 \h </w:instrText>
      </w:r>
      <w:r>
        <w:rPr>
          <w:highlight w:val="none"/>
        </w:rPr>
        <w:fldChar w:fldCharType="separate"/>
      </w:r>
      <w:r>
        <w:rPr>
          <w:highlight w:val="none"/>
        </w:rPr>
        <w:t>12</w:t>
      </w:r>
      <w:r>
        <w:rPr>
          <w:highlight w:val="none"/>
        </w:rPr>
        <w:fldChar w:fldCharType="end"/>
      </w:r>
      <w:r>
        <w:rPr>
          <w:highlight w:val="none"/>
        </w:rPr>
        <w:fldChar w:fldCharType="end"/>
      </w:r>
    </w:p>
    <w:p w14:paraId="35B4F717">
      <w:pPr>
        <w:pStyle w:val="19"/>
        <w:tabs>
          <w:tab w:val="right" w:leader="dot" w:pos="9354"/>
        </w:tabs>
        <w:rPr>
          <w:rFonts w:hint="eastAsia" w:eastAsia="宋体"/>
          <w:highlight w:val="none"/>
          <w:lang w:val="en-US" w:eastAsia="zh-CN"/>
        </w:rPr>
      </w:pPr>
      <w:r>
        <w:rPr>
          <w:highlight w:val="none"/>
        </w:rPr>
        <w:fldChar w:fldCharType="begin"/>
      </w:r>
      <w:r>
        <w:rPr>
          <w:highlight w:val="none"/>
        </w:rPr>
        <w:instrText xml:space="preserve"> HYPERLINK \l "_Toc23131" </w:instrText>
      </w:r>
      <w:r>
        <w:rPr>
          <w:highlight w:val="none"/>
        </w:rPr>
        <w:fldChar w:fldCharType="separate"/>
      </w:r>
      <w:r>
        <w:rPr>
          <w:rFonts w:hint="eastAsia"/>
          <w:highlight w:val="none"/>
          <w:lang w:val="en-US" w:eastAsia="zh-CN"/>
        </w:rPr>
        <w:t>参考文献</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5</w:t>
      </w:r>
    </w:p>
    <w:p w14:paraId="5C04E17A">
      <w:pPr>
        <w:pStyle w:val="92"/>
        <w:spacing w:after="36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8"/>
    <w:p w14:paraId="0A6182CD">
      <w:pPr>
        <w:pStyle w:val="90"/>
        <w:spacing w:after="360"/>
      </w:pPr>
      <w:bookmarkStart w:id="9" w:name="_Toc1127"/>
      <w:bookmarkStart w:id="10" w:name="BookMark2"/>
      <w:r>
        <w:rPr>
          <w:rFonts w:hint="eastAsia"/>
          <w:spacing w:val="320"/>
        </w:rPr>
        <w:t>前</w:t>
      </w:r>
      <w:r>
        <w:rPr>
          <w:rFonts w:hint="eastAsia"/>
        </w:rPr>
        <w:t>言</w:t>
      </w:r>
      <w:bookmarkEnd w:id="9"/>
    </w:p>
    <w:p w14:paraId="59AFAA2C">
      <w:pPr>
        <w:pStyle w:val="57"/>
        <w:ind w:firstLine="420"/>
        <w:rPr>
          <w:kern w:val="2"/>
          <w:szCs w:val="21"/>
        </w:rPr>
      </w:pPr>
      <w:r>
        <w:rPr>
          <w:rFonts w:hint="eastAsia"/>
        </w:rPr>
        <w:t>本文件按照GB/T 1.1—2020《标准化工作导则  第1部分：标准化文件的结构和起草规则》的规定起草。</w:t>
      </w:r>
    </w:p>
    <w:p w14:paraId="18864B98">
      <w:pPr>
        <w:pStyle w:val="57"/>
        <w:ind w:firstLine="420"/>
      </w:pPr>
      <w:r>
        <w:rPr>
          <w:rFonts w:hint="eastAsia"/>
        </w:rPr>
        <w:t xml:space="preserve">本文件是 </w:t>
      </w:r>
      <w:bookmarkStart w:id="11" w:name="OLE_LINK1"/>
      <w:r>
        <w:rPr>
          <w:rFonts w:hint="eastAsia"/>
        </w:rPr>
        <w:t>T/SCSVA 0004</w:t>
      </w:r>
      <w:bookmarkEnd w:id="11"/>
      <w:r>
        <w:rPr>
          <w:rFonts w:hint="eastAsia"/>
        </w:rPr>
        <w:t>《</w:t>
      </w:r>
      <w:r>
        <w:rPr>
          <w:rFonts w:hint="eastAsia"/>
          <w:lang w:eastAsia="zh-CN"/>
        </w:rPr>
        <w:t>健身</w:t>
      </w:r>
      <w:r>
        <w:rPr>
          <w:rFonts w:hint="eastAsia"/>
        </w:rPr>
        <w:t>场所管理运营服务等级划分</w:t>
      </w:r>
      <w:r>
        <w:rPr>
          <w:rFonts w:hint="eastAsia"/>
          <w:lang w:eastAsia="zh-CN"/>
        </w:rPr>
        <w:t>与评定</w:t>
      </w:r>
      <w:r>
        <w:rPr>
          <w:rFonts w:hint="eastAsia"/>
        </w:rPr>
        <w:t>》的第2部分。</w:t>
      </w:r>
    </w:p>
    <w:p w14:paraId="13850388">
      <w:pPr>
        <w:pStyle w:val="57"/>
        <w:ind w:firstLine="420"/>
      </w:pPr>
      <w:r>
        <w:rPr>
          <w:rFonts w:hint="eastAsia"/>
        </w:rPr>
        <w:t>T/SCSVA 0004《</w:t>
      </w:r>
      <w:r>
        <w:rPr>
          <w:rFonts w:hint="eastAsia"/>
          <w:lang w:eastAsia="zh-CN"/>
        </w:rPr>
        <w:t>健身</w:t>
      </w:r>
      <w:r>
        <w:rPr>
          <w:rFonts w:hint="eastAsia"/>
        </w:rPr>
        <w:t>场所管理运营服务等级划分</w:t>
      </w:r>
      <w:r>
        <w:rPr>
          <w:rFonts w:hint="eastAsia"/>
          <w:lang w:eastAsia="zh-CN"/>
        </w:rPr>
        <w:t>与评定</w:t>
      </w:r>
      <w:r>
        <w:rPr>
          <w:rFonts w:hint="eastAsia"/>
        </w:rPr>
        <w:t>》由以下</w:t>
      </w:r>
      <w:r>
        <w:rPr>
          <w:rFonts w:hint="eastAsia"/>
          <w:lang w:val="en-US" w:eastAsia="zh-CN"/>
        </w:rPr>
        <w:t>4</w:t>
      </w:r>
      <w:r>
        <w:rPr>
          <w:rFonts w:hint="eastAsia"/>
        </w:rPr>
        <w:t>个部分构成：</w:t>
      </w:r>
    </w:p>
    <w:p w14:paraId="1E044567">
      <w:pPr>
        <w:pStyle w:val="57"/>
        <w:ind w:firstLine="420"/>
      </w:pPr>
      <w:r>
        <w:rPr>
          <w:rFonts w:hint="eastAsia"/>
        </w:rPr>
        <w:t>——第1部分：健身房；</w:t>
      </w:r>
    </w:p>
    <w:p w14:paraId="20796E04">
      <w:pPr>
        <w:pStyle w:val="57"/>
        <w:ind w:firstLine="420"/>
      </w:pPr>
      <w:r>
        <w:rPr>
          <w:rFonts w:hint="eastAsia"/>
        </w:rPr>
        <w:t>——第2部分：游泳池（馆）；</w:t>
      </w:r>
    </w:p>
    <w:p w14:paraId="480BCFFA">
      <w:pPr>
        <w:pStyle w:val="57"/>
        <w:ind w:firstLine="420"/>
      </w:pPr>
      <w:r>
        <w:rPr>
          <w:rFonts w:hint="eastAsia"/>
        </w:rPr>
        <w:t>——第3部分：室内运动球馆；</w:t>
      </w:r>
    </w:p>
    <w:p w14:paraId="48FDE1BB">
      <w:pPr>
        <w:pStyle w:val="57"/>
        <w:ind w:firstLine="420"/>
        <w:rPr>
          <w:rFonts w:hint="eastAsia" w:eastAsia="宋体"/>
          <w:lang w:eastAsia="zh-CN"/>
        </w:rPr>
      </w:pPr>
      <w:r>
        <w:rPr>
          <w:rFonts w:hint="eastAsia"/>
        </w:rPr>
        <w:t>——第4部分：室外运动球场</w:t>
      </w:r>
      <w:r>
        <w:rPr>
          <w:rFonts w:hint="eastAsia"/>
          <w:lang w:eastAsia="zh-CN"/>
        </w:rPr>
        <w:t>。</w:t>
      </w:r>
    </w:p>
    <w:p w14:paraId="0438D8BF">
      <w:pPr>
        <w:pStyle w:val="57"/>
        <w:ind w:firstLine="420"/>
        <w:rPr>
          <w:rFonts w:hint="eastAsia"/>
        </w:rPr>
      </w:pPr>
      <w:r>
        <w:rPr>
          <w:rFonts w:hint="eastAsia"/>
        </w:rPr>
        <w:t>本文件代替T/SCSVA 0004.</w:t>
      </w:r>
      <w:r>
        <w:rPr>
          <w:rFonts w:hint="eastAsia"/>
          <w:lang w:val="en-US" w:eastAsia="zh-CN"/>
        </w:rPr>
        <w:t>2</w:t>
      </w:r>
      <w:r>
        <w:rPr>
          <w:rFonts w:hint="eastAsia"/>
        </w:rPr>
        <w:t>—2024《健身场所管理运营服务等级划分与评定 第</w:t>
      </w:r>
      <w:r>
        <w:rPr>
          <w:rFonts w:hint="eastAsia"/>
          <w:lang w:val="en-US" w:eastAsia="zh-CN"/>
        </w:rPr>
        <w:t>2</w:t>
      </w:r>
      <w:r>
        <w:rPr>
          <w:rFonts w:hint="eastAsia"/>
        </w:rPr>
        <w:t>部分：</w:t>
      </w:r>
      <w:r>
        <w:rPr>
          <w:rFonts w:hint="eastAsia"/>
          <w:lang w:val="en-US" w:eastAsia="zh-CN"/>
        </w:rPr>
        <w:t>游泳池（馆）</w:t>
      </w:r>
      <w:r>
        <w:rPr>
          <w:rFonts w:hint="eastAsia"/>
        </w:rPr>
        <w:t>》,与T/SCSVA 0004.</w:t>
      </w:r>
      <w:r>
        <w:rPr>
          <w:rFonts w:hint="eastAsia"/>
          <w:lang w:val="en-US" w:eastAsia="zh-CN"/>
        </w:rPr>
        <w:t>2</w:t>
      </w:r>
      <w:r>
        <w:rPr>
          <w:rFonts w:hint="eastAsia"/>
        </w:rPr>
        <w:t>—2024相比，除结构调整和编辑性改动外，主要技术变化如下：</w:t>
      </w:r>
    </w:p>
    <w:p w14:paraId="7B88510E">
      <w:pPr>
        <w:pStyle w:val="57"/>
        <w:ind w:firstLine="420"/>
        <w:rPr>
          <w:rFonts w:hint="eastAsia"/>
        </w:rPr>
      </w:pPr>
      <w:r>
        <w:rPr>
          <w:rFonts w:hint="eastAsia"/>
        </w:rPr>
        <w:t>a) 范围规定了</w:t>
      </w:r>
      <w:r>
        <w:rPr>
          <w:rFonts w:hint="eastAsia"/>
          <w:lang w:val="en-US" w:eastAsia="zh-CN"/>
        </w:rPr>
        <w:t>游泳池（馆）</w:t>
      </w:r>
      <w:r>
        <w:rPr>
          <w:rFonts w:hint="eastAsia"/>
        </w:rPr>
        <w:t>星级的划分及评定的划分原则、星级的划分、星级的划分依据、星级的评定和管理；</w:t>
      </w:r>
    </w:p>
    <w:p w14:paraId="4EFFD1BC">
      <w:pPr>
        <w:pStyle w:val="57"/>
        <w:ind w:firstLine="420"/>
        <w:rPr>
          <w:rFonts w:hint="eastAsia"/>
          <w:lang w:val="en-US" w:eastAsia="zh-CN"/>
        </w:rPr>
      </w:pPr>
      <w:r>
        <w:rPr>
          <w:rFonts w:hint="eastAsia"/>
        </w:rPr>
        <w:t>b) 适用范围规定</w:t>
      </w:r>
      <w:r>
        <w:rPr>
          <w:rFonts w:hint="eastAsia"/>
          <w:lang w:val="en-US" w:eastAsia="zh-CN"/>
        </w:rPr>
        <w:t>了开放一年及以上的四川省各级各类游泳池（馆）的星级评定与管理；</w:t>
      </w:r>
    </w:p>
    <w:p w14:paraId="247A3673">
      <w:pPr>
        <w:pStyle w:val="57"/>
        <w:ind w:firstLine="420"/>
        <w:rPr>
          <w:rFonts w:hint="eastAsia"/>
        </w:rPr>
      </w:pPr>
      <w:r>
        <w:rPr>
          <w:rFonts w:hint="eastAsia"/>
        </w:rPr>
        <w:t>c) 术语定义删除了服务质量；</w:t>
      </w:r>
    </w:p>
    <w:p w14:paraId="1FCD076C">
      <w:pPr>
        <w:pStyle w:val="57"/>
        <w:ind w:firstLine="420"/>
        <w:rPr>
          <w:rFonts w:hint="eastAsia"/>
        </w:rPr>
      </w:pPr>
      <w:r>
        <w:rPr>
          <w:rFonts w:hint="eastAsia"/>
        </w:rPr>
        <w:t>d) 更改了星级评定的划分原则、依据以及管理等内容；</w:t>
      </w:r>
    </w:p>
    <w:p w14:paraId="08506DDA">
      <w:pPr>
        <w:pStyle w:val="57"/>
        <w:ind w:firstLine="420"/>
        <w:rPr>
          <w:rFonts w:hint="eastAsia"/>
        </w:rPr>
      </w:pPr>
      <w:r>
        <w:rPr>
          <w:rFonts w:hint="eastAsia"/>
        </w:rPr>
        <w:t xml:space="preserve">e) 更改了附录A </w:t>
      </w:r>
      <w:r>
        <w:rPr>
          <w:rFonts w:hint="eastAsia"/>
          <w:highlight w:val="none"/>
        </w:rPr>
        <w:t>游泳池（馆）基本条件合格性评估表</w:t>
      </w:r>
      <w:r>
        <w:rPr>
          <w:rFonts w:hint="eastAsia"/>
        </w:rPr>
        <w:t>；</w:t>
      </w:r>
    </w:p>
    <w:p w14:paraId="609CB4DE">
      <w:pPr>
        <w:pStyle w:val="57"/>
        <w:ind w:firstLine="420"/>
        <w:rPr>
          <w:rFonts w:hint="eastAsia"/>
        </w:rPr>
      </w:pPr>
      <w:r>
        <w:rPr>
          <w:rFonts w:hint="eastAsia"/>
        </w:rPr>
        <w:t>f) 更改了附录B 游泳池（馆）运营管理服务质量评分表；</w:t>
      </w:r>
    </w:p>
    <w:p w14:paraId="56E48295">
      <w:pPr>
        <w:pStyle w:val="57"/>
        <w:ind w:firstLine="420"/>
        <w:rPr>
          <w:rFonts w:hint="eastAsia" w:eastAsia="宋体"/>
          <w:lang w:eastAsia="zh-CN"/>
        </w:rPr>
      </w:pPr>
      <w:r>
        <w:rPr>
          <w:rFonts w:hint="eastAsia"/>
        </w:rPr>
        <w:t>g) 增加了附录C 星级游泳池（馆）必备项目检查表</w:t>
      </w:r>
      <w:r>
        <w:rPr>
          <w:rFonts w:hint="eastAsia"/>
          <w:lang w:eastAsia="zh-CN"/>
        </w:rPr>
        <w:t>。</w:t>
      </w:r>
    </w:p>
    <w:p w14:paraId="416B3585">
      <w:pPr>
        <w:pStyle w:val="57"/>
        <w:ind w:firstLine="420"/>
      </w:pPr>
      <w:r>
        <w:rPr>
          <w:rFonts w:hint="eastAsia"/>
        </w:rPr>
        <w:t>请注意本文件的某些内容可能涉及专利。本文件的发布机构不承担知识专利的责任。</w:t>
      </w:r>
    </w:p>
    <w:p w14:paraId="170BBCD2">
      <w:pPr>
        <w:pStyle w:val="57"/>
        <w:ind w:firstLine="420"/>
      </w:pPr>
      <w:r>
        <w:rPr>
          <w:rFonts w:hint="eastAsia"/>
        </w:rPr>
        <w:t>本文件由四川省体育场馆协会提出并归口。</w:t>
      </w:r>
    </w:p>
    <w:p w14:paraId="794A37C5">
      <w:pPr>
        <w:pStyle w:val="57"/>
        <w:ind w:firstLine="420"/>
      </w:pPr>
      <w:r>
        <w:rPr>
          <w:rFonts w:hint="eastAsia"/>
        </w:rPr>
        <w:t>本部分起草单位：四川省体育场馆协会、四川长江职业学院、四川省社会体育指导中心、达州市体育中心、安徽豆米科技有限公司。</w:t>
      </w:r>
    </w:p>
    <w:p w14:paraId="16929841">
      <w:pPr>
        <w:pStyle w:val="57"/>
        <w:ind w:firstLine="420"/>
      </w:pPr>
      <w:r>
        <w:rPr>
          <w:rFonts w:hint="eastAsia"/>
        </w:rPr>
        <w:t>本部分主要起草人：窦廷军、张京杭、邢轲轲、孙勇、谢梦瑶、肖洪、李莉、肖伟、罗锋、邓嘉、何斌、钱寒冰、刘圆芳、韩虎、贺刚。</w:t>
      </w:r>
    </w:p>
    <w:p w14:paraId="5D20826A">
      <w:pPr>
        <w:pStyle w:val="57"/>
        <w:ind w:firstLine="420"/>
      </w:pPr>
    </w:p>
    <w:p w14:paraId="5CF507EC">
      <w:pPr>
        <w:pStyle w:val="57"/>
        <w:ind w:firstLine="420"/>
      </w:pPr>
    </w:p>
    <w:p w14:paraId="7C969888">
      <w:pPr>
        <w:pStyle w:val="57"/>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bookmarkEnd w:id="10"/>
    <w:p w14:paraId="69FCA7FD">
      <w:pPr>
        <w:spacing w:line="20" w:lineRule="exact"/>
        <w:jc w:val="center"/>
        <w:rPr>
          <w:rFonts w:ascii="黑体" w:hAnsi="黑体" w:eastAsia="黑体"/>
          <w:sz w:val="32"/>
          <w:szCs w:val="32"/>
        </w:rPr>
      </w:pPr>
      <w:bookmarkStart w:id="12" w:name="BookMark4"/>
    </w:p>
    <w:p w14:paraId="7AE0455C">
      <w:pPr>
        <w:spacing w:line="20" w:lineRule="exact"/>
        <w:jc w:val="center"/>
        <w:rPr>
          <w:rFonts w:ascii="黑体" w:hAnsi="黑体" w:eastAsia="黑体"/>
          <w:sz w:val="32"/>
          <w:szCs w:val="32"/>
        </w:rPr>
      </w:pPr>
    </w:p>
    <w:sdt>
      <w:sdtPr>
        <w:tag w:val="NEW_STAND_NAME"/>
        <w:id w:val="595910757"/>
        <w:lock w:val="sdtLocked"/>
        <w:placeholder>
          <w:docPart w:val="B0A2ED1EE0C14EC3B0993F8658155577"/>
        </w:placeholder>
      </w:sdtPr>
      <w:sdtContent>
        <w:p w14:paraId="1E280821">
          <w:pPr>
            <w:pStyle w:val="178"/>
            <w:bidi w:val="0"/>
            <w:spacing w:before="4" w:beforeLines="1" w:after="4" w:afterLines="1"/>
            <w:rPr>
              <w:rFonts w:hint="eastAsia"/>
              <w:lang w:eastAsia="zh-CN"/>
            </w:rPr>
          </w:pPr>
          <w:bookmarkStart w:id="13" w:name="NEW_STAND_NAME"/>
          <w:r>
            <w:rPr>
              <w:rFonts w:hint="eastAsia"/>
              <w:lang w:eastAsia="zh-CN"/>
            </w:rPr>
            <w:t>健身</w:t>
          </w:r>
          <w:r>
            <w:rPr>
              <w:rFonts w:hint="eastAsia"/>
            </w:rPr>
            <w:t>场所管理运营服务等级划分</w:t>
          </w:r>
          <w:r>
            <w:rPr>
              <w:rFonts w:hint="eastAsia"/>
              <w:lang w:eastAsia="zh-CN"/>
            </w:rPr>
            <w:t>与评定</w:t>
          </w:r>
        </w:p>
        <w:p w14:paraId="4834EC73">
          <w:pPr>
            <w:pStyle w:val="178"/>
            <w:bidi w:val="0"/>
            <w:spacing w:before="4" w:beforeLines="1" w:after="680" w:afterLines="1"/>
          </w:pPr>
          <w:r>
            <w:rPr>
              <w:rFonts w:hint="eastAsia"/>
              <w:lang w:eastAsia="zh-CN"/>
            </w:rPr>
            <w:t>第2 部分：游泳池（馆）</w:t>
          </w:r>
        </w:p>
      </w:sdtContent>
    </w:sdt>
    <w:bookmarkEnd w:id="13"/>
    <w:p w14:paraId="476890A6">
      <w:pPr>
        <w:pStyle w:val="105"/>
        <w:spacing w:before="240" w:after="240"/>
        <w:rPr>
          <w:highlight w:val="none"/>
        </w:rPr>
      </w:pPr>
      <w:bookmarkStart w:id="14" w:name="_Toc26986530"/>
      <w:bookmarkStart w:id="15" w:name="_Toc181343027"/>
      <w:bookmarkStart w:id="16" w:name="_Toc26648465"/>
      <w:bookmarkStart w:id="17" w:name="_Toc26986771"/>
      <w:bookmarkStart w:id="18" w:name="_Toc26718930"/>
      <w:bookmarkStart w:id="19" w:name="_Toc17233333"/>
      <w:bookmarkStart w:id="20" w:name="_Toc17233325"/>
      <w:bookmarkStart w:id="21" w:name="_Toc24884211"/>
      <w:bookmarkStart w:id="22" w:name="_Toc24884218"/>
      <w:bookmarkStart w:id="23" w:name="_Toc3504"/>
      <w:r>
        <w:rPr>
          <w:rFonts w:hint="eastAsia"/>
          <w:highlight w:val="none"/>
        </w:rPr>
        <w:t>范围</w:t>
      </w:r>
      <w:bookmarkEnd w:id="14"/>
      <w:bookmarkEnd w:id="15"/>
      <w:bookmarkEnd w:id="16"/>
      <w:bookmarkEnd w:id="17"/>
      <w:bookmarkEnd w:id="18"/>
      <w:bookmarkEnd w:id="19"/>
      <w:bookmarkEnd w:id="20"/>
      <w:bookmarkEnd w:id="21"/>
      <w:bookmarkEnd w:id="22"/>
      <w:bookmarkEnd w:id="23"/>
    </w:p>
    <w:p w14:paraId="32BB0FEC">
      <w:pPr>
        <w:pStyle w:val="57"/>
        <w:ind w:firstLine="420"/>
        <w:rPr>
          <w:highlight w:val="none"/>
        </w:rPr>
      </w:pPr>
      <w:bookmarkStart w:id="24" w:name="_Toc26648466"/>
      <w:bookmarkStart w:id="25" w:name="_Toc17233326"/>
      <w:bookmarkStart w:id="26" w:name="_Toc24884212"/>
      <w:bookmarkStart w:id="27" w:name="_Toc17233334"/>
      <w:bookmarkStart w:id="28" w:name="_Toc24884219"/>
      <w:r>
        <w:rPr>
          <w:rFonts w:hint="eastAsia"/>
          <w:highlight w:val="none"/>
        </w:rPr>
        <w:t xml:space="preserve"> </w:t>
      </w:r>
      <w:r>
        <w:rPr>
          <w:rFonts w:hint="eastAsia"/>
          <w:highlight w:val="none"/>
          <w:lang w:val="en-US" w:eastAsia="zh-CN"/>
        </w:rPr>
        <w:t>本文件</w:t>
      </w:r>
      <w:r>
        <w:rPr>
          <w:rFonts w:hint="eastAsia"/>
          <w:highlight w:val="none"/>
        </w:rPr>
        <w:t>规定了游泳池（馆）星级的划分及评定的划分原则、星级的划分、星级的划分依据、星级的评定和管理。</w:t>
      </w:r>
    </w:p>
    <w:p w14:paraId="6739D284">
      <w:pPr>
        <w:pStyle w:val="57"/>
        <w:ind w:firstLine="420"/>
        <w:rPr>
          <w:highlight w:val="none"/>
        </w:rPr>
      </w:pPr>
      <w:r>
        <w:rPr>
          <w:rFonts w:hint="eastAsia"/>
          <w:highlight w:val="none"/>
        </w:rPr>
        <w:t>本文件适用于开放一年及以上的四川省各级各类游泳池（馆）的星级评定与管理。</w:t>
      </w:r>
    </w:p>
    <w:p w14:paraId="4CD043D7">
      <w:pPr>
        <w:pStyle w:val="105"/>
        <w:spacing w:before="240" w:after="240"/>
        <w:rPr>
          <w:highlight w:val="none"/>
        </w:rPr>
      </w:pPr>
      <w:bookmarkStart w:id="29" w:name="_Toc26986772"/>
      <w:bookmarkStart w:id="30" w:name="_Toc181343028"/>
      <w:bookmarkStart w:id="31" w:name="_Toc26718931"/>
      <w:bookmarkStart w:id="32" w:name="_Toc26986531"/>
      <w:bookmarkStart w:id="33" w:name="_Toc7572"/>
      <w:r>
        <w:rPr>
          <w:rFonts w:hint="eastAsia"/>
          <w:highlight w:val="none"/>
        </w:rPr>
        <w:t>规范性引用文件</w:t>
      </w:r>
      <w:bookmarkEnd w:id="24"/>
      <w:bookmarkEnd w:id="25"/>
      <w:bookmarkEnd w:id="26"/>
      <w:bookmarkEnd w:id="27"/>
      <w:bookmarkEnd w:id="28"/>
      <w:bookmarkEnd w:id="29"/>
      <w:bookmarkEnd w:id="30"/>
      <w:bookmarkEnd w:id="31"/>
      <w:bookmarkEnd w:id="32"/>
      <w:bookmarkEnd w:id="33"/>
    </w:p>
    <w:sdt>
      <w:sdtPr>
        <w:rPr>
          <w:rFonts w:hint="eastAsia"/>
        </w:rPr>
        <w:id w:val="715848253"/>
        <w:placeholder>
          <w:docPart w:val="9F5A3C1B2FD646278829086113A4E4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481B86F">
          <w:pPr>
            <w:pStyle w:val="57"/>
            <w:ind w:firstLine="420"/>
          </w:pPr>
          <w:r>
            <w:rPr>
              <w:rFonts w:hint="eastAsia" w:ascii="宋体" w:hAnsi="Times New Roman" w:eastAsia="宋体" w:cs="Times New Roman"/>
              <w:sz w:val="21"/>
              <w:lang w:val="en-US" w:eastAsia="zh-CN" w:bidi="ar-SA"/>
            </w:rPr>
            <w:t>本文件没有规范性引用文件。</w:t>
          </w:r>
        </w:p>
      </w:sdtContent>
    </w:sdt>
    <w:p w14:paraId="0048A26C">
      <w:pPr>
        <w:pStyle w:val="105"/>
        <w:spacing w:before="240" w:after="240"/>
        <w:rPr>
          <w:highlight w:val="none"/>
        </w:rPr>
      </w:pPr>
      <w:bookmarkStart w:id="34" w:name="_Toc181343029"/>
      <w:bookmarkStart w:id="35" w:name="_Toc13215"/>
      <w:r>
        <w:rPr>
          <w:rFonts w:hint="eastAsia"/>
          <w:szCs w:val="21"/>
          <w:highlight w:val="none"/>
        </w:rPr>
        <w:t>术语和定义</w:t>
      </w:r>
      <w:bookmarkEnd w:id="34"/>
      <w:bookmarkEnd w:id="35"/>
    </w:p>
    <w:sdt>
      <w:sdtPr>
        <w:id w:val="-1909835108"/>
        <w:placeholder>
          <w:docPart w:val="901FA82EACB94A8FBC11A5EDE9F4F88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14EA048">
          <w:pPr>
            <w:pStyle w:val="57"/>
            <w:ind w:firstLine="420"/>
          </w:pPr>
          <w:bookmarkStart w:id="36" w:name="_Toc26986532"/>
          <w:bookmarkEnd w:id="36"/>
          <w:r>
            <w:rPr>
              <w:rFonts w:hint="eastAsia"/>
            </w:rPr>
            <w:t>GB 19079.1-2013界定的以及下列术语和定义适用于本文件。为了便于使用，以下重复列出了GB 19079.1-2013中的某些术语和定义。</w:t>
          </w:r>
        </w:p>
      </w:sdtContent>
    </w:sdt>
    <w:p w14:paraId="1D895FAF">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游泳池  swimming pool</w:t>
      </w:r>
    </w:p>
    <w:p w14:paraId="5C285917">
      <w:pPr>
        <w:pStyle w:val="57"/>
        <w:ind w:firstLine="420"/>
      </w:pPr>
      <w:r>
        <w:rPr>
          <w:rFonts w:hint="eastAsia"/>
        </w:rPr>
        <w:t>人工建造的供人们在水中进行各种竞赛、训练、休闲健身的不同形状的水池。</w:t>
      </w:r>
    </w:p>
    <w:p w14:paraId="0E050645">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社会体育指导员（游泳）  social sports instructor（swimming）</w:t>
      </w:r>
    </w:p>
    <w:p w14:paraId="5348F96C">
      <w:pPr>
        <w:pStyle w:val="57"/>
        <w:ind w:firstLine="420"/>
      </w:pPr>
      <w:r>
        <w:rPr>
          <w:rFonts w:hint="eastAsia"/>
        </w:rPr>
        <w:t>在游泳场所中从事游泳技能传授、科学健身指导和组织管理工作的人员。</w:t>
      </w:r>
    </w:p>
    <w:p w14:paraId="7381AE18">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游泳救生员  swimming lifeguard </w:t>
      </w:r>
    </w:p>
    <w:p w14:paraId="2464093A">
      <w:pPr>
        <w:pStyle w:val="57"/>
        <w:ind w:firstLine="420"/>
      </w:pPr>
      <w:r>
        <w:rPr>
          <w:rFonts w:hint="eastAsia"/>
        </w:rPr>
        <w:t>在游泳场所中对游泳者的安全进行有效观察和防护，对溺水者进行赴救，并在医务人员到来之前现场急救的人员。</w:t>
      </w:r>
    </w:p>
    <w:p w14:paraId="7EC53AC9">
      <w:pPr>
        <w:pStyle w:val="105"/>
        <w:spacing w:before="240" w:after="240"/>
        <w:rPr>
          <w:highlight w:val="none"/>
        </w:rPr>
      </w:pPr>
      <w:bookmarkStart w:id="37" w:name="_Toc1415"/>
      <w:r>
        <w:rPr>
          <w:rFonts w:hint="eastAsia"/>
          <w:highlight w:val="none"/>
        </w:rPr>
        <w:t>划分原则</w:t>
      </w:r>
      <w:bookmarkEnd w:id="37"/>
    </w:p>
    <w:p w14:paraId="0E2E5CA6">
      <w:pPr>
        <w:pStyle w:val="57"/>
        <w:ind w:firstLine="420" w:firstLineChars="0"/>
        <w:rPr>
          <w:highlight w:val="none"/>
        </w:rPr>
      </w:pPr>
      <w:r>
        <w:rPr>
          <w:rFonts w:hint="eastAsia"/>
          <w:highlight w:val="none"/>
        </w:rPr>
        <w:t>游泳池（馆）星级的划分遵循以下原则：</w:t>
      </w:r>
    </w:p>
    <w:p w14:paraId="490578F8">
      <w:pPr>
        <w:pStyle w:val="57"/>
        <w:numPr>
          <w:ilvl w:val="0"/>
          <w:numId w:val="32"/>
        </w:numPr>
        <w:ind w:firstLine="420" w:firstLineChars="0"/>
        <w:rPr>
          <w:highlight w:val="none"/>
        </w:rPr>
      </w:pPr>
      <w:r>
        <w:rPr>
          <w:rFonts w:hint="eastAsia"/>
          <w:highlight w:val="none"/>
        </w:rPr>
        <w:t>自愿申报原则；</w:t>
      </w:r>
    </w:p>
    <w:p w14:paraId="6A70973D">
      <w:pPr>
        <w:pStyle w:val="57"/>
        <w:numPr>
          <w:ilvl w:val="0"/>
          <w:numId w:val="32"/>
        </w:numPr>
        <w:ind w:firstLine="420" w:firstLineChars="0"/>
        <w:rPr>
          <w:highlight w:val="none"/>
        </w:rPr>
      </w:pPr>
      <w:r>
        <w:rPr>
          <w:rFonts w:hint="eastAsia"/>
          <w:highlight w:val="none"/>
        </w:rPr>
        <w:t>科学性、客观性的原则；</w:t>
      </w:r>
    </w:p>
    <w:p w14:paraId="74E1F0E3">
      <w:pPr>
        <w:pStyle w:val="57"/>
        <w:numPr>
          <w:ilvl w:val="0"/>
          <w:numId w:val="32"/>
        </w:numPr>
        <w:ind w:firstLine="420" w:firstLineChars="0"/>
        <w:rPr>
          <w:highlight w:val="none"/>
        </w:rPr>
      </w:pPr>
      <w:r>
        <w:rPr>
          <w:rFonts w:hint="eastAsia"/>
          <w:highlight w:val="none"/>
        </w:rPr>
        <w:t>指导性、规范性的原则；</w:t>
      </w:r>
    </w:p>
    <w:p w14:paraId="322ED55F">
      <w:pPr>
        <w:pStyle w:val="57"/>
        <w:numPr>
          <w:ilvl w:val="0"/>
          <w:numId w:val="32"/>
        </w:numPr>
        <w:ind w:firstLine="420" w:firstLineChars="0"/>
        <w:rPr>
          <w:rFonts w:ascii="黑体" w:eastAsia="黑体"/>
          <w:highlight w:val="none"/>
        </w:rPr>
      </w:pPr>
      <w:r>
        <w:rPr>
          <w:rFonts w:hint="eastAsia"/>
          <w:highlight w:val="none"/>
        </w:rPr>
        <w:t>公平、公正、公开的原则。</w:t>
      </w:r>
    </w:p>
    <w:p w14:paraId="312F399B">
      <w:pPr>
        <w:pStyle w:val="57"/>
        <w:numPr>
          <w:ilvl w:val="0"/>
          <w:numId w:val="32"/>
        </w:numPr>
        <w:ind w:firstLine="420" w:firstLineChars="0"/>
        <w:rPr>
          <w:rFonts w:ascii="黑体" w:eastAsia="黑体"/>
          <w:highlight w:val="none"/>
        </w:rPr>
      </w:pPr>
      <w:r>
        <w:rPr>
          <w:rFonts w:hint="eastAsia"/>
          <w:highlight w:val="none"/>
        </w:rPr>
        <w:t>持续监督、动态管理的原则。</w:t>
      </w:r>
    </w:p>
    <w:p w14:paraId="03F6BFD8">
      <w:pPr>
        <w:pStyle w:val="105"/>
        <w:spacing w:before="240" w:after="240"/>
        <w:rPr>
          <w:highlight w:val="none"/>
        </w:rPr>
      </w:pPr>
      <w:bookmarkStart w:id="38" w:name="_Toc25637"/>
      <w:r>
        <w:rPr>
          <w:rFonts w:hint="eastAsia"/>
          <w:highlight w:val="none"/>
        </w:rPr>
        <w:t>星级的划分</w:t>
      </w:r>
      <w:bookmarkEnd w:id="38"/>
    </w:p>
    <w:p w14:paraId="67E7AC3C">
      <w:pPr>
        <w:pStyle w:val="57"/>
        <w:ind w:firstLine="420"/>
      </w:pPr>
      <w:r>
        <w:rPr>
          <w:rFonts w:hint="eastAsia"/>
        </w:rPr>
        <w:t>游泳池（馆）划分为三个星级，即五星级、四星级、三星级。最高星级为五星级，最低星级为三星级。星级标志见图 1。</w:t>
      </w:r>
    </w:p>
    <w:p w14:paraId="6D4D6C5C">
      <w:pPr>
        <w:pStyle w:val="57"/>
        <w:ind w:firstLine="420"/>
      </w:pPr>
    </w:p>
    <w:p w14:paraId="15A6859E">
      <w:pPr>
        <w:pStyle w:val="57"/>
        <w:numPr>
          <w:ilvl w:val="0"/>
          <w:numId w:val="33"/>
        </w:numPr>
        <w:ind w:firstLine="960"/>
        <w:rPr>
          <w:sz w:val="48"/>
          <w:szCs w:val="44"/>
        </w:rPr>
      </w:pPr>
      <w:r>
        <w:rPr>
          <w:rFonts w:hint="eastAsia"/>
          <w:sz w:val="48"/>
          <w:szCs w:val="44"/>
        </w:rPr>
        <w:t xml:space="preserve">★★★★★  </w:t>
      </w:r>
      <w:r>
        <w:rPr>
          <w:rFonts w:hint="eastAsia"/>
        </w:rPr>
        <w:t>b)</w:t>
      </w:r>
      <w:r>
        <w:rPr>
          <w:rFonts w:hint="eastAsia"/>
          <w:sz w:val="48"/>
          <w:szCs w:val="44"/>
        </w:rPr>
        <w:t xml:space="preserve">★★★★  </w:t>
      </w:r>
      <w:r>
        <w:rPr>
          <w:rFonts w:hint="eastAsia"/>
        </w:rPr>
        <w:t>c)</w:t>
      </w:r>
      <w:r>
        <w:rPr>
          <w:rFonts w:hint="eastAsia"/>
          <w:sz w:val="48"/>
          <w:szCs w:val="44"/>
        </w:rPr>
        <w:t>★★★</w:t>
      </w:r>
    </w:p>
    <w:p w14:paraId="61ABB25C">
      <w:pPr>
        <w:pStyle w:val="57"/>
        <w:ind w:firstLine="4427" w:firstLineChars="2100"/>
      </w:pPr>
      <w:r>
        <w:rPr>
          <w:rFonts w:hint="eastAsia"/>
          <w:b/>
          <w:bCs/>
        </w:rPr>
        <w:t>图-1</w:t>
      </w:r>
    </w:p>
    <w:p w14:paraId="51900EEE">
      <w:pPr>
        <w:pStyle w:val="105"/>
        <w:spacing w:before="240" w:after="240"/>
        <w:rPr>
          <w:highlight w:val="none"/>
        </w:rPr>
      </w:pPr>
      <w:bookmarkStart w:id="39" w:name="_Toc23039"/>
      <w:r>
        <w:rPr>
          <w:rFonts w:hint="eastAsia"/>
          <w:highlight w:val="none"/>
        </w:rPr>
        <w:t>星级的划分依据</w:t>
      </w:r>
      <w:bookmarkEnd w:id="39"/>
    </w:p>
    <w:p w14:paraId="541A477D">
      <w:pPr>
        <w:pStyle w:val="106"/>
        <w:spacing w:before="120" w:after="120"/>
      </w:pPr>
      <w:r>
        <w:rPr>
          <w:rFonts w:hint="eastAsia"/>
        </w:rPr>
        <w:t>基本条件合格性评估</w:t>
      </w:r>
    </w:p>
    <w:p w14:paraId="13DDA629">
      <w:pPr>
        <w:pStyle w:val="57"/>
        <w:ind w:firstLine="420"/>
      </w:pPr>
      <w:r>
        <w:rPr>
          <w:rFonts w:hint="eastAsia"/>
        </w:rPr>
        <w:t>附录A.1</w:t>
      </w:r>
      <w:r>
        <w:t>中的</w:t>
      </w:r>
      <w:r>
        <w:rPr>
          <w:rFonts w:hint="eastAsia"/>
        </w:rPr>
        <w:t>基本条件合格性评估</w:t>
      </w:r>
      <w:r>
        <w:t>表规定了</w:t>
      </w:r>
      <w:r>
        <w:rPr>
          <w:rFonts w:hint="eastAsia"/>
        </w:rPr>
        <w:t>游泳池（馆）必须</w:t>
      </w:r>
      <w:r>
        <w:t>具备的</w:t>
      </w:r>
      <w:r>
        <w:rPr>
          <w:rFonts w:hint="eastAsia"/>
        </w:rPr>
        <w:t>基础性条件</w:t>
      </w:r>
      <w:r>
        <w:t>。</w:t>
      </w:r>
    </w:p>
    <w:p w14:paraId="167135A6">
      <w:pPr>
        <w:pStyle w:val="106"/>
        <w:spacing w:before="120" w:after="120"/>
      </w:pPr>
      <w:r>
        <w:rPr>
          <w:rFonts w:hint="eastAsia"/>
        </w:rPr>
        <w:t xml:space="preserve">游泳池（馆）运营管理服务质量综合评估 </w:t>
      </w:r>
    </w:p>
    <w:p w14:paraId="16173A66">
      <w:pPr>
        <w:pStyle w:val="57"/>
        <w:ind w:firstLine="420"/>
      </w:pPr>
      <w:r>
        <w:rPr>
          <w:rFonts w:hint="eastAsia"/>
        </w:rPr>
        <w:t>游泳池（馆）运营管理服务质量综合评估分为硬件设施（20%）、管理运营（30%）、服务保障（30%）、安全卫生（20%）四大项，以及加分项和减分项共六大评估要素,基础分为100分,加分项为5分,减分项为5分。硬件设施服务质量具体评估指标应符合附录B.1的规定，管理运营服务质量具体评估指标应符合附录B.2的规定，服务保障服务质量具体评估指标应符合附录B.3的规定，安全卫生服务质量具体评估指标应符合附录B.4的规定，加减分项评估指标应符合B.5的规定。三星级、四星级、 五星级游泳池（馆）规定最低得分线:五星级90分,四星级80分,三星级70分。</w:t>
      </w:r>
    </w:p>
    <w:p w14:paraId="30B1D123">
      <w:pPr>
        <w:pStyle w:val="106"/>
        <w:spacing w:before="120" w:after="120"/>
      </w:pPr>
      <w:r>
        <w:rPr>
          <w:rFonts w:hint="eastAsia"/>
        </w:rPr>
        <w:t>各星级必备项目评估</w:t>
      </w:r>
    </w:p>
    <w:p w14:paraId="0FB56807">
      <w:pPr>
        <w:pStyle w:val="57"/>
        <w:ind w:firstLine="420"/>
      </w:pPr>
      <w:r>
        <w:rPr>
          <w:rFonts w:hint="eastAsia"/>
        </w:rPr>
        <w:t>附录C</w:t>
      </w:r>
      <w:r>
        <w:t>中的</w:t>
      </w:r>
      <w:r>
        <w:rPr>
          <w:rFonts w:hint="eastAsia"/>
        </w:rPr>
        <w:t>游泳池（馆）</w:t>
      </w:r>
      <w:r>
        <w:t>必备项目</w:t>
      </w:r>
      <w:r>
        <w:rPr>
          <w:rFonts w:hint="eastAsia"/>
        </w:rPr>
        <w:t>评估</w:t>
      </w:r>
      <w:r>
        <w:t>表规定了各星级</w:t>
      </w:r>
      <w:r>
        <w:rPr>
          <w:rFonts w:hint="eastAsia"/>
        </w:rPr>
        <w:t>必备</w:t>
      </w:r>
      <w:r>
        <w:t>硬件设施和服务项目。五星级必备</w:t>
      </w:r>
      <w:r>
        <w:rPr>
          <w:rFonts w:hint="eastAsia"/>
        </w:rPr>
        <w:t>项目</w:t>
      </w:r>
      <w:r>
        <w:t xml:space="preserve">应符合表 </w:t>
      </w:r>
      <w:r>
        <w:rPr>
          <w:rFonts w:hint="eastAsia"/>
        </w:rPr>
        <w:t>C.</w:t>
      </w:r>
      <w:r>
        <w:t>1的规定</w:t>
      </w:r>
      <w:r>
        <w:rPr>
          <w:rFonts w:hint="eastAsia"/>
        </w:rPr>
        <w:t>；</w:t>
      </w:r>
      <w:r>
        <w:t>四星级必备</w:t>
      </w:r>
      <w:r>
        <w:rPr>
          <w:rFonts w:hint="eastAsia"/>
        </w:rPr>
        <w:t>项目</w:t>
      </w:r>
      <w:r>
        <w:t>应符合表</w:t>
      </w:r>
      <w:r>
        <w:rPr>
          <w:rFonts w:hint="eastAsia"/>
        </w:rPr>
        <w:t>C</w:t>
      </w:r>
      <w:r>
        <w:t>.2的规定</w:t>
      </w:r>
      <w:r>
        <w:rPr>
          <w:rFonts w:hint="eastAsia"/>
        </w:rPr>
        <w:t>；</w:t>
      </w:r>
      <w:r>
        <w:t>三星级必备</w:t>
      </w:r>
      <w:r>
        <w:rPr>
          <w:rFonts w:hint="eastAsia"/>
        </w:rPr>
        <w:t>项目</w:t>
      </w:r>
      <w:r>
        <w:t>应</w:t>
      </w:r>
      <w:r>
        <w:rPr>
          <w:rFonts w:hint="eastAsia"/>
        </w:rPr>
        <w:t>符</w:t>
      </w:r>
      <w:r>
        <w:t>合表</w:t>
      </w:r>
      <w:r>
        <w:rPr>
          <w:rFonts w:hint="eastAsia"/>
        </w:rPr>
        <w:t>C</w:t>
      </w:r>
      <w:r>
        <w:t>.3的规定。</w:t>
      </w:r>
    </w:p>
    <w:p w14:paraId="010541A8">
      <w:pPr>
        <w:pStyle w:val="105"/>
        <w:spacing w:before="240" w:after="240"/>
        <w:rPr>
          <w:highlight w:val="none"/>
        </w:rPr>
      </w:pPr>
      <w:bookmarkStart w:id="40" w:name="_Toc22340"/>
      <w:r>
        <w:rPr>
          <w:rFonts w:hint="eastAsia"/>
          <w:highlight w:val="none"/>
        </w:rPr>
        <w:t>星级评定与管理</w:t>
      </w:r>
      <w:bookmarkEnd w:id="40"/>
    </w:p>
    <w:p w14:paraId="0E89A646">
      <w:pPr>
        <w:pStyle w:val="106"/>
        <w:spacing w:before="120" w:after="120"/>
      </w:pPr>
      <w:r>
        <w:rPr>
          <w:rFonts w:hint="eastAsia"/>
        </w:rPr>
        <w:t>星级评定</w:t>
      </w:r>
    </w:p>
    <w:p w14:paraId="688899F0">
      <w:pPr>
        <w:pStyle w:val="57"/>
        <w:ind w:firstLine="420"/>
      </w:pPr>
      <w:r>
        <w:rPr>
          <w:rFonts w:hint="eastAsia"/>
        </w:rPr>
        <w:t>游泳池（馆）首先进行基本条件合格性评估，合格性评估通过方可进入运营管理服务质量综合评估，依据综合评估得分和星级最低分数线初步确定星级，按照对应星级进行星级必备项目评估，星级必备项目全部符合方可获得对应星级。</w:t>
      </w:r>
    </w:p>
    <w:p w14:paraId="66472501">
      <w:pPr>
        <w:pStyle w:val="106"/>
        <w:spacing w:before="120" w:after="120"/>
      </w:pPr>
      <w:r>
        <w:rPr>
          <w:rFonts w:hint="eastAsia"/>
        </w:rPr>
        <w:t>星级管理</w:t>
      </w:r>
    </w:p>
    <w:p w14:paraId="72DEF849">
      <w:pPr>
        <w:pStyle w:val="166"/>
        <w:numPr>
          <w:ilvl w:val="3"/>
          <w:numId w:val="0"/>
        </w:numPr>
      </w:pPr>
      <w:r>
        <w:rPr>
          <w:rFonts w:hint="eastAsia" w:ascii="黑体" w:eastAsia="黑体"/>
        </w:rPr>
        <w:t>7.2.1</w:t>
      </w:r>
      <w:r>
        <w:rPr>
          <w:rFonts w:hint="eastAsia"/>
        </w:rPr>
        <w:t>游泳池（馆）已获得评定星级有效期3年，自获得评定星级年度起，评级机构每年组织年检，年检合格继续使用星级称号，不合格者取消星级称号。</w:t>
      </w:r>
    </w:p>
    <w:p w14:paraId="33488CD5">
      <w:pPr>
        <w:pStyle w:val="166"/>
        <w:numPr>
          <w:ilvl w:val="3"/>
          <w:numId w:val="0"/>
        </w:numPr>
      </w:pPr>
      <w:r>
        <w:rPr>
          <w:rFonts w:hint="eastAsia" w:ascii="黑体" w:eastAsia="黑体"/>
        </w:rPr>
        <w:t>7.2.2</w:t>
      </w:r>
      <w:r>
        <w:rPr>
          <w:rFonts w:hint="eastAsia"/>
        </w:rPr>
        <w:t>游泳池（馆）所获星级评定到期后，如需继续使用星级称号，可再次向评级机构申请星级评定。</w:t>
      </w:r>
    </w:p>
    <w:p w14:paraId="52E7C764">
      <w:pPr>
        <w:pStyle w:val="166"/>
        <w:numPr>
          <w:ilvl w:val="3"/>
          <w:numId w:val="0"/>
        </w:numPr>
      </w:pPr>
      <w:r>
        <w:rPr>
          <w:rFonts w:hint="eastAsia" w:ascii="黑体" w:eastAsia="黑体"/>
        </w:rPr>
        <w:t>7.2.3</w:t>
      </w:r>
      <w:r>
        <w:rPr>
          <w:rFonts w:hint="eastAsia"/>
        </w:rPr>
        <w:t>已经获得星级称号的单位，自获得评定星级年度起一年以后可申请更高星级的评定。</w:t>
      </w:r>
    </w:p>
    <w:p w14:paraId="623A57B1">
      <w:pPr>
        <w:pStyle w:val="166"/>
        <w:numPr>
          <w:ilvl w:val="3"/>
          <w:numId w:val="0"/>
        </w:numPr>
      </w:pPr>
      <w:r>
        <w:rPr>
          <w:rFonts w:hint="eastAsia" w:ascii="黑体" w:eastAsia="黑体"/>
        </w:rPr>
        <w:t>7.2.4</w:t>
      </w:r>
      <w:r>
        <w:rPr>
          <w:rFonts w:hint="eastAsia"/>
        </w:rPr>
        <w:t>游泳池（馆）星级标牌、证书与证书副本统一制作、核发。</w:t>
      </w:r>
    </w:p>
    <w:p w14:paraId="20AC03B3">
      <w:pPr>
        <w:pStyle w:val="166"/>
        <w:numPr>
          <w:ilvl w:val="3"/>
          <w:numId w:val="0"/>
        </w:numPr>
      </w:pPr>
      <w:r>
        <w:rPr>
          <w:rFonts w:hint="eastAsia" w:ascii="黑体" w:eastAsia="黑体"/>
        </w:rPr>
        <w:t>7.2.5</w:t>
      </w:r>
      <w:r>
        <w:rPr>
          <w:rFonts w:hint="eastAsia"/>
        </w:rPr>
        <w:t>游泳池（馆）发生安全、运营责任事故的，须及时向评级机构报备，所获得星级称号自动取消，且两年内不得申报星级评定。</w:t>
      </w:r>
    </w:p>
    <w:p w14:paraId="66631408">
      <w:pPr>
        <w:pStyle w:val="166"/>
        <w:numPr>
          <w:ilvl w:val="3"/>
          <w:numId w:val="0"/>
        </w:numPr>
      </w:pPr>
      <w:r>
        <w:rPr>
          <w:rFonts w:hint="eastAsia" w:ascii="黑体" w:eastAsia="黑体"/>
        </w:rPr>
        <w:t>7.2.6</w:t>
      </w:r>
      <w:r>
        <w:rPr>
          <w:rFonts w:hint="eastAsia"/>
        </w:rPr>
        <w:t>超过有效期或取消评定星级的游泳池（馆），应立即停止悬挂星级标牌，停止使用星级证书和称号，并停止所有相关的宣传。</w:t>
      </w:r>
    </w:p>
    <w:p w14:paraId="4CFBDBB5">
      <w:pPr>
        <w:pStyle w:val="166"/>
        <w:numPr>
          <w:ilvl w:val="3"/>
          <w:numId w:val="0"/>
        </w:numPr>
      </w:pPr>
    </w:p>
    <w:p w14:paraId="23B2234A">
      <w:pPr>
        <w:pStyle w:val="166"/>
        <w:numPr>
          <w:ilvl w:val="3"/>
          <w:numId w:val="0"/>
        </w:numPr>
      </w:pPr>
    </w:p>
    <w:p w14:paraId="50A09088">
      <w:pPr>
        <w:pStyle w:val="166"/>
        <w:numPr>
          <w:ilvl w:val="3"/>
          <w:numId w:val="0"/>
        </w:numPr>
      </w:pPr>
    </w:p>
    <w:p w14:paraId="2BC9B7D9">
      <w:pPr>
        <w:pStyle w:val="166"/>
        <w:numPr>
          <w:ilvl w:val="3"/>
          <w:numId w:val="0"/>
        </w:numPr>
      </w:pPr>
    </w:p>
    <w:p w14:paraId="6940F9ED">
      <w:pPr>
        <w:pStyle w:val="166"/>
        <w:numPr>
          <w:ilvl w:val="3"/>
          <w:numId w:val="0"/>
        </w:numPr>
      </w:pPr>
    </w:p>
    <w:p w14:paraId="14FE2AA4">
      <w:pPr>
        <w:pStyle w:val="166"/>
        <w:numPr>
          <w:ilvl w:val="3"/>
          <w:numId w:val="0"/>
        </w:numPr>
      </w:pPr>
    </w:p>
    <w:p w14:paraId="745CE513">
      <w:r>
        <w:br w:type="page"/>
      </w:r>
    </w:p>
    <w:p w14:paraId="4B9A6A17">
      <w:pPr>
        <w:pStyle w:val="77"/>
        <w:spacing w:before="60" w:after="120"/>
        <w:rPr>
          <w:highlight w:val="none"/>
        </w:rPr>
      </w:pPr>
      <w:bookmarkStart w:id="41" w:name="_Toc18219"/>
      <w:r>
        <w:rPr>
          <w:highlight w:val="none"/>
        </w:rPr>
        <w:br w:type="textWrapping"/>
      </w:r>
      <w:bookmarkStart w:id="42" w:name="_Toc181175960"/>
      <w:bookmarkStart w:id="43" w:name="_Toc182922177"/>
      <w:r>
        <w:rPr>
          <w:rFonts w:hint="eastAsia"/>
          <w:highlight w:val="none"/>
        </w:rPr>
        <w:t>（规范性）</w:t>
      </w:r>
      <w:r>
        <w:rPr>
          <w:highlight w:val="none"/>
        </w:rPr>
        <w:br w:type="textWrapping"/>
      </w:r>
      <w:r>
        <w:rPr>
          <w:rFonts w:hint="eastAsia"/>
          <w:highlight w:val="none"/>
        </w:rPr>
        <w:t>游泳池（馆）基本条件合格性评估表</w:t>
      </w:r>
      <w:bookmarkEnd w:id="41"/>
      <w:bookmarkEnd w:id="42"/>
      <w:bookmarkEnd w:id="43"/>
    </w:p>
    <w:p w14:paraId="060C697B">
      <w:pPr>
        <w:pStyle w:val="78"/>
        <w:spacing w:before="120" w:after="120"/>
        <w:rPr>
          <w:highlight w:val="none"/>
        </w:rPr>
      </w:pPr>
      <w:r>
        <w:rPr>
          <w:rFonts w:hint="eastAsia"/>
          <w:highlight w:val="none"/>
          <w:lang w:bidi="ar"/>
        </w:rPr>
        <w:t>游泳池（馆）基本条件合格性评估表</w:t>
      </w:r>
    </w:p>
    <w:tbl>
      <w:tblPr>
        <w:tblStyle w:val="27"/>
        <w:tblW w:w="9787" w:type="dxa"/>
        <w:jc w:val="center"/>
        <w:tblLayout w:type="fixed"/>
        <w:tblCellMar>
          <w:top w:w="0" w:type="dxa"/>
          <w:left w:w="108" w:type="dxa"/>
          <w:bottom w:w="0" w:type="dxa"/>
          <w:right w:w="108" w:type="dxa"/>
        </w:tblCellMar>
      </w:tblPr>
      <w:tblGrid>
        <w:gridCol w:w="709"/>
        <w:gridCol w:w="6058"/>
        <w:gridCol w:w="3020"/>
      </w:tblGrid>
      <w:tr w14:paraId="7611A253">
        <w:tblPrEx>
          <w:tblCellMar>
            <w:top w:w="0" w:type="dxa"/>
            <w:left w:w="108" w:type="dxa"/>
            <w:bottom w:w="0" w:type="dxa"/>
            <w:right w:w="108" w:type="dxa"/>
          </w:tblCellMar>
        </w:tblPrEx>
        <w:trPr>
          <w:trHeight w:val="492"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C68FC8C">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6058" w:type="dxa"/>
            <w:tcBorders>
              <w:top w:val="single" w:color="auto" w:sz="4" w:space="0"/>
              <w:left w:val="single" w:color="auto" w:sz="4" w:space="0"/>
              <w:bottom w:val="single" w:color="auto" w:sz="4" w:space="0"/>
              <w:right w:val="single" w:color="auto" w:sz="4" w:space="0"/>
            </w:tcBorders>
            <w:noWrap/>
            <w:vAlign w:val="center"/>
          </w:tcPr>
          <w:p w14:paraId="7CCB30E6">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3020" w:type="dxa"/>
            <w:tcBorders>
              <w:top w:val="single" w:color="auto" w:sz="4" w:space="0"/>
              <w:left w:val="single" w:color="auto" w:sz="4" w:space="0"/>
              <w:bottom w:val="single" w:color="auto" w:sz="4" w:space="0"/>
              <w:right w:val="single" w:color="auto" w:sz="4" w:space="0"/>
            </w:tcBorders>
            <w:noWrap/>
            <w:vAlign w:val="center"/>
          </w:tcPr>
          <w:p w14:paraId="7C8F6F1A">
            <w:pPr>
              <w:widowControl/>
              <w:spacing w:line="240" w:lineRule="exact"/>
              <w:textAlignment w:val="center"/>
              <w:rPr>
                <w:rFonts w:ascii="宋体" w:hAnsi="宋体" w:cs="宋体"/>
                <w:sz w:val="18"/>
                <w:szCs w:val="18"/>
              </w:rPr>
            </w:pPr>
            <w:r>
              <w:rPr>
                <w:rFonts w:hint="eastAsia" w:ascii="宋体" w:hAnsi="宋体" w:cs="宋体"/>
                <w:kern w:val="0"/>
                <w:sz w:val="18"/>
                <w:szCs w:val="18"/>
                <w:lang w:bidi="ar"/>
              </w:rPr>
              <w:t>评定结果（合格“√”、不合格“×”）</w:t>
            </w:r>
          </w:p>
        </w:tc>
      </w:tr>
      <w:tr w14:paraId="4A0B373A">
        <w:tblPrEx>
          <w:tblCellMar>
            <w:top w:w="0" w:type="dxa"/>
            <w:left w:w="108" w:type="dxa"/>
            <w:bottom w:w="0" w:type="dxa"/>
            <w:right w:w="108" w:type="dxa"/>
          </w:tblCellMar>
        </w:tblPrEx>
        <w:trPr>
          <w:trHeight w:val="566"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6D92EA4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54B7FA9">
            <w:pPr>
              <w:pStyle w:val="57"/>
              <w:ind w:firstLine="0" w:firstLineChars="0"/>
            </w:pPr>
            <w:r>
              <w:rPr>
                <w:rFonts w:hint="eastAsia"/>
              </w:rPr>
              <w:t>游泳池（馆）的从业人员、</w:t>
            </w:r>
            <w:r>
              <w:t>场地</w:t>
            </w:r>
            <w:r>
              <w:rPr>
                <w:rFonts w:hint="eastAsia"/>
              </w:rPr>
              <w:t>设施</w:t>
            </w:r>
            <w:r>
              <w:t>设备条件、卫生环境、安全</w:t>
            </w:r>
          </w:p>
          <w:p w14:paraId="2A37C995">
            <w:pPr>
              <w:pStyle w:val="57"/>
              <w:ind w:firstLine="0" w:firstLineChars="0"/>
            </w:pPr>
            <w:r>
              <w:t>保障应符合 GB</w:t>
            </w:r>
            <w:r>
              <w:rPr>
                <w:rFonts w:hint="eastAsia"/>
              </w:rPr>
              <w:t>19079.1-2013</w:t>
            </w:r>
            <w:r>
              <w:t>的规定。</w:t>
            </w:r>
          </w:p>
          <w:p w14:paraId="37816B81">
            <w:pPr>
              <w:pStyle w:val="57"/>
              <w:ind w:firstLine="0" w:firstLineChars="0"/>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98E3FCC">
            <w:pPr>
              <w:spacing w:line="240" w:lineRule="exact"/>
              <w:rPr>
                <w:rFonts w:ascii="宋体" w:hAnsi="宋体" w:cs="宋体"/>
                <w:sz w:val="18"/>
                <w:szCs w:val="18"/>
              </w:rPr>
            </w:pPr>
          </w:p>
        </w:tc>
      </w:tr>
      <w:tr w14:paraId="0E9580DE">
        <w:tblPrEx>
          <w:tblCellMar>
            <w:top w:w="0" w:type="dxa"/>
            <w:left w:w="108" w:type="dxa"/>
            <w:bottom w:w="0" w:type="dxa"/>
            <w:right w:w="108" w:type="dxa"/>
          </w:tblCellMar>
        </w:tblPrEx>
        <w:trPr>
          <w:trHeight w:val="63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AA0046">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72C73E11">
            <w:pPr>
              <w:pStyle w:val="231"/>
              <w:spacing w:line="0" w:lineRule="atLeast"/>
              <w:ind w:left="-17" w:leftChars="-8" w:right="44" w:rightChars="21" w:firstLine="10" w:firstLineChars="5"/>
              <w:jc w:val="both"/>
              <w:textAlignment w:val="center"/>
              <w:rPr>
                <w:szCs w:val="20"/>
              </w:rPr>
            </w:pPr>
            <w:r>
              <w:rPr>
                <w:rFonts w:hint="eastAsia"/>
                <w:szCs w:val="20"/>
              </w:rPr>
              <w:t>经营主体依法注册登记，具有独立法人资格，合法经营1年以上，遵守相关的法律、法规。</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30D96DD">
            <w:pPr>
              <w:spacing w:line="240" w:lineRule="exact"/>
              <w:rPr>
                <w:rFonts w:ascii="宋体" w:hAnsi="宋体" w:cs="宋体"/>
                <w:sz w:val="18"/>
                <w:szCs w:val="18"/>
              </w:rPr>
            </w:pPr>
          </w:p>
        </w:tc>
      </w:tr>
      <w:tr w14:paraId="1DE01A48">
        <w:tblPrEx>
          <w:tblCellMar>
            <w:top w:w="0" w:type="dxa"/>
            <w:left w:w="108" w:type="dxa"/>
            <w:bottom w:w="0" w:type="dxa"/>
            <w:right w:w="108" w:type="dxa"/>
          </w:tblCellMar>
        </w:tblPrEx>
        <w:trPr>
          <w:trHeight w:val="57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CA6705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6BCE268E">
            <w:pPr>
              <w:pStyle w:val="57"/>
              <w:ind w:firstLine="0" w:firstLineChars="0"/>
            </w:pPr>
            <w:r>
              <w:rPr>
                <w:rFonts w:hint="eastAsia"/>
              </w:rPr>
              <w:t>有房屋不动产证或租赁证明、消防审验合格或消防备案证明，如有锅炉、电梯、压力管道（含气瓶）等特种设备，应具备相应的特种设备使用登记证以及有效期内设备检测报告。</w:t>
            </w:r>
          </w:p>
          <w:p w14:paraId="3BAC36E1">
            <w:pPr>
              <w:pStyle w:val="57"/>
              <w:ind w:firstLine="0" w:firstLineChars="0"/>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1ED8BFC6">
            <w:pPr>
              <w:spacing w:line="240" w:lineRule="exact"/>
              <w:rPr>
                <w:rFonts w:ascii="宋体" w:hAnsi="宋体" w:cs="宋体"/>
                <w:sz w:val="18"/>
                <w:szCs w:val="18"/>
              </w:rPr>
            </w:pPr>
          </w:p>
        </w:tc>
      </w:tr>
      <w:tr w14:paraId="59FF22F8">
        <w:tblPrEx>
          <w:tblCellMar>
            <w:top w:w="0" w:type="dxa"/>
            <w:left w:w="108" w:type="dxa"/>
            <w:bottom w:w="0" w:type="dxa"/>
            <w:right w:w="108" w:type="dxa"/>
          </w:tblCellMar>
        </w:tblPrEx>
        <w:trPr>
          <w:trHeight w:val="59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0CEE30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43FA0D3B">
            <w:pPr>
              <w:pStyle w:val="57"/>
              <w:ind w:firstLine="0" w:firstLineChars="0"/>
            </w:pPr>
            <w:r>
              <w:rPr>
                <w:rFonts w:hint="eastAsia"/>
              </w:rPr>
              <w:t>近一年无违反国家法律法规、政策规定行为，未发生安全、消防、食品、环保、质量等责任故。</w:t>
            </w:r>
          </w:p>
          <w:p w14:paraId="57842A9A">
            <w:pPr>
              <w:pStyle w:val="57"/>
              <w:ind w:firstLine="0" w:firstLineChars="0"/>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0EABD7B1">
            <w:pPr>
              <w:spacing w:line="240" w:lineRule="exact"/>
              <w:rPr>
                <w:rFonts w:ascii="宋体" w:hAnsi="宋体" w:cs="宋体"/>
                <w:sz w:val="18"/>
                <w:szCs w:val="18"/>
              </w:rPr>
            </w:pPr>
          </w:p>
        </w:tc>
      </w:tr>
      <w:tr w14:paraId="6C2F52AE">
        <w:tblPrEx>
          <w:tblCellMar>
            <w:top w:w="0" w:type="dxa"/>
            <w:left w:w="108" w:type="dxa"/>
            <w:bottom w:w="0" w:type="dxa"/>
            <w:right w:w="108" w:type="dxa"/>
          </w:tblCellMar>
        </w:tblPrEx>
        <w:trPr>
          <w:trHeight w:val="74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5357C7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140A53C9">
            <w:pPr>
              <w:pStyle w:val="25"/>
              <w:autoSpaceDE w:val="0"/>
              <w:autoSpaceDN w:val="0"/>
              <w:spacing w:line="0" w:lineRule="atLeast"/>
              <w:ind w:left="-17" w:leftChars="-8" w:right="44" w:rightChars="21" w:firstLine="10" w:firstLineChars="5"/>
              <w:jc w:val="both"/>
              <w:textAlignment w:val="center"/>
              <w:rPr>
                <w:rFonts w:ascii="宋体"/>
                <w:sz w:val="21"/>
                <w:szCs w:val="20"/>
              </w:rPr>
            </w:pPr>
            <w:r>
              <w:rPr>
                <w:rFonts w:hint="eastAsia" w:ascii="宋体"/>
                <w:sz w:val="21"/>
                <w:szCs w:val="20"/>
              </w:rPr>
              <w:t>近一年未发生知识产权侵权行为、经营服务质量有效投诉</w:t>
            </w:r>
            <w:r>
              <w:rPr>
                <w:rFonts w:ascii="宋体"/>
                <w:sz w:val="21"/>
                <w:szCs w:val="20"/>
              </w:rPr>
              <w:t>或造成社会负面影响</w:t>
            </w:r>
            <w:r>
              <w:rPr>
                <w:rFonts w:hint="eastAsia" w:ascii="宋体"/>
                <w:sz w:val="21"/>
                <w:szCs w:val="20"/>
              </w:rPr>
              <w:t>，</w:t>
            </w:r>
            <w:r>
              <w:rPr>
                <w:rFonts w:ascii="宋体"/>
                <w:sz w:val="21"/>
                <w:szCs w:val="20"/>
              </w:rPr>
              <w:t>未被列入严重违法失信企业名单。</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F45D0E0">
            <w:pPr>
              <w:spacing w:line="240" w:lineRule="exact"/>
              <w:rPr>
                <w:rFonts w:ascii="宋体" w:hAnsi="宋体" w:cs="宋体"/>
                <w:sz w:val="18"/>
                <w:szCs w:val="18"/>
              </w:rPr>
            </w:pPr>
          </w:p>
        </w:tc>
      </w:tr>
      <w:tr w14:paraId="4EF0DD8C">
        <w:tblPrEx>
          <w:tblCellMar>
            <w:top w:w="0" w:type="dxa"/>
            <w:left w:w="108" w:type="dxa"/>
            <w:bottom w:w="0" w:type="dxa"/>
            <w:right w:w="108" w:type="dxa"/>
          </w:tblCellMar>
        </w:tblPrEx>
        <w:trPr>
          <w:trHeight w:val="564"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7A9EC1D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73E35021">
            <w:pPr>
              <w:pStyle w:val="57"/>
              <w:ind w:firstLine="0" w:firstLineChars="0"/>
            </w:pPr>
            <w:r>
              <w:rPr>
                <w:rFonts w:hint="eastAsia"/>
              </w:rPr>
              <w:t>近一年未发生过公共卫生事件,卫生防疫制度健全，建立公共卫生与安全突发事件应急预案与应急机制。</w:t>
            </w:r>
          </w:p>
          <w:p w14:paraId="1ADDAA32">
            <w:pPr>
              <w:pStyle w:val="57"/>
              <w:ind w:firstLine="0" w:firstLineChars="0"/>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CEB3988">
            <w:pPr>
              <w:spacing w:line="240" w:lineRule="exact"/>
              <w:rPr>
                <w:rFonts w:ascii="宋体" w:hAnsi="宋体" w:cs="宋体"/>
                <w:sz w:val="18"/>
                <w:szCs w:val="18"/>
              </w:rPr>
            </w:pPr>
          </w:p>
        </w:tc>
      </w:tr>
      <w:tr w14:paraId="273709F8">
        <w:tblPrEx>
          <w:tblCellMar>
            <w:top w:w="0" w:type="dxa"/>
            <w:left w:w="108" w:type="dxa"/>
            <w:bottom w:w="0" w:type="dxa"/>
            <w:right w:w="108" w:type="dxa"/>
          </w:tblCellMar>
        </w:tblPrEx>
        <w:trPr>
          <w:trHeight w:val="815"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369E5FD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197763F2">
            <w:pPr>
              <w:pStyle w:val="25"/>
              <w:autoSpaceDE w:val="0"/>
              <w:autoSpaceDN w:val="0"/>
              <w:spacing w:line="0" w:lineRule="atLeast"/>
              <w:ind w:left="-17" w:leftChars="-8" w:right="44" w:rightChars="21" w:firstLine="10" w:firstLineChars="5"/>
              <w:jc w:val="both"/>
              <w:textAlignment w:val="center"/>
              <w:rPr>
                <w:rFonts w:ascii="宋体"/>
                <w:sz w:val="21"/>
                <w:szCs w:val="20"/>
              </w:rPr>
            </w:pPr>
            <w:r>
              <w:rPr>
                <w:rFonts w:hint="eastAsia" w:ascii="宋体"/>
                <w:sz w:val="21"/>
                <w:szCs w:val="20"/>
              </w:rPr>
              <w:t>经营高危体育项目（游泳、潜水等），须持有《高危险性体育项目经营许可证》。如经营餐饮、食品等服务，须持有相应的许可证。</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2FA2E715">
            <w:pPr>
              <w:spacing w:line="240" w:lineRule="exact"/>
              <w:rPr>
                <w:rFonts w:ascii="宋体" w:hAnsi="宋体" w:cs="宋体"/>
                <w:sz w:val="18"/>
                <w:szCs w:val="18"/>
              </w:rPr>
            </w:pPr>
          </w:p>
        </w:tc>
      </w:tr>
      <w:tr w14:paraId="64FCE269">
        <w:tblPrEx>
          <w:tblCellMar>
            <w:top w:w="0" w:type="dxa"/>
            <w:left w:w="108" w:type="dxa"/>
            <w:bottom w:w="0" w:type="dxa"/>
            <w:right w:w="108" w:type="dxa"/>
          </w:tblCellMar>
        </w:tblPrEx>
        <w:trPr>
          <w:trHeight w:val="84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03EC88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8</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5E8D88F">
            <w:pPr>
              <w:pStyle w:val="57"/>
              <w:ind w:firstLine="0" w:firstLineChars="0"/>
            </w:pPr>
            <w:r>
              <w:rPr>
                <w:rFonts w:hint="eastAsia"/>
              </w:rPr>
              <w:t>具有专业的训练与服务团队，</w:t>
            </w:r>
            <w:r>
              <w:t>工作人员均持有健康证明</w:t>
            </w:r>
            <w:r>
              <w:rPr>
                <w:rFonts w:hint="eastAsia"/>
              </w:rPr>
              <w:t>，</w:t>
            </w:r>
            <w:r>
              <w:t>教练员具有全国单项体育协会认可的资质证书。其他人员持有与岗位上岗规定相适应的专业资格证书、执业证书或技能培训合格证。</w:t>
            </w:r>
          </w:p>
          <w:p w14:paraId="38F35384">
            <w:pPr>
              <w:pStyle w:val="57"/>
              <w:ind w:firstLine="0" w:firstLineChars="0"/>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5BC9A97">
            <w:pPr>
              <w:spacing w:line="240" w:lineRule="exact"/>
              <w:rPr>
                <w:rFonts w:ascii="宋体" w:hAnsi="宋体" w:cs="宋体"/>
                <w:sz w:val="18"/>
                <w:szCs w:val="18"/>
              </w:rPr>
            </w:pPr>
          </w:p>
        </w:tc>
      </w:tr>
      <w:tr w14:paraId="62F2254E">
        <w:tblPrEx>
          <w:tblCellMar>
            <w:top w:w="0" w:type="dxa"/>
            <w:left w:w="108" w:type="dxa"/>
            <w:bottom w:w="0" w:type="dxa"/>
            <w:right w:w="108" w:type="dxa"/>
          </w:tblCellMar>
        </w:tblPrEx>
        <w:trPr>
          <w:trHeight w:val="164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25BED88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9</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135A4300">
            <w:pPr>
              <w:pStyle w:val="57"/>
              <w:ind w:firstLine="0" w:firstLineChars="0"/>
            </w:pPr>
            <w:r>
              <w:rPr>
                <w:rFonts w:hint="eastAsia"/>
              </w:rPr>
              <w:t>水面面积在250㎡及以下的游泳池，应至少配备游泳救生员3人；水面面积在250㎡以上的游泳池，应按面积每增加250㎡及以内增加1人的比例，配备游泳救生员，其中流动救生员应不少于1人。游泳救生员应当持证上岗，并佩戴能标明其身份的醒目标识。游泳救生员的姓名、照片、职业资格证书编号等信息应在醒目位置悬挂。</w:t>
            </w:r>
          </w:p>
          <w:p w14:paraId="2EB69B8F">
            <w:pPr>
              <w:pStyle w:val="57"/>
              <w:ind w:firstLine="0" w:firstLineChars="0"/>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4C918311">
            <w:pPr>
              <w:spacing w:line="240" w:lineRule="exact"/>
              <w:rPr>
                <w:rFonts w:ascii="宋体" w:hAnsi="宋体" w:cs="宋体"/>
                <w:sz w:val="18"/>
                <w:szCs w:val="18"/>
              </w:rPr>
            </w:pPr>
          </w:p>
        </w:tc>
      </w:tr>
      <w:tr w14:paraId="33147984">
        <w:tblPrEx>
          <w:tblCellMar>
            <w:top w:w="0" w:type="dxa"/>
            <w:left w:w="108" w:type="dxa"/>
            <w:bottom w:w="0" w:type="dxa"/>
            <w:right w:w="108" w:type="dxa"/>
          </w:tblCellMar>
        </w:tblPrEx>
        <w:trPr>
          <w:trHeight w:val="55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7EBC3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10</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2BF768C6">
            <w:pPr>
              <w:pStyle w:val="57"/>
              <w:ind w:firstLine="0" w:firstLineChars="0"/>
            </w:pPr>
            <w:r>
              <w:rPr>
                <w:rFonts w:hint="eastAsia"/>
              </w:rPr>
              <w:t>器材设备应符合GB17498和GB/T34311要求；以及符合行业标准或体育项目竞赛规则的要求。</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57C9E127">
            <w:pPr>
              <w:spacing w:line="240" w:lineRule="exact"/>
              <w:rPr>
                <w:rFonts w:ascii="宋体" w:hAnsi="宋体" w:cs="宋体"/>
                <w:sz w:val="18"/>
                <w:szCs w:val="18"/>
              </w:rPr>
            </w:pPr>
          </w:p>
        </w:tc>
      </w:tr>
      <w:tr w14:paraId="4E2A3123">
        <w:tblPrEx>
          <w:tblCellMar>
            <w:top w:w="0" w:type="dxa"/>
            <w:left w:w="108" w:type="dxa"/>
            <w:bottom w:w="0" w:type="dxa"/>
            <w:right w:w="108" w:type="dxa"/>
          </w:tblCellMar>
        </w:tblPrEx>
        <w:trPr>
          <w:trHeight w:val="577"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2B09A7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11</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0F3235F9">
            <w:pPr>
              <w:pStyle w:val="57"/>
              <w:ind w:firstLine="0" w:firstLineChars="0"/>
            </w:pPr>
            <w:r>
              <w:rPr>
                <w:rFonts w:hint="eastAsia"/>
              </w:rPr>
              <w:t>防火防盗、</w:t>
            </w:r>
            <w:r>
              <w:t>医疗救护、人身财产等基本安全设施设备配置齐全</w:t>
            </w:r>
            <w:r>
              <w:rPr>
                <w:rFonts w:hint="eastAsia"/>
              </w:rPr>
              <w:t>，</w:t>
            </w:r>
            <w:r>
              <w:t>性能与运转正常</w:t>
            </w:r>
            <w:r>
              <w:rPr>
                <w:rFonts w:hint="eastAsia"/>
              </w:rPr>
              <w:t>，</w:t>
            </w:r>
            <w:r>
              <w:t>无安全隐患</w:t>
            </w:r>
            <w:r>
              <w:rPr>
                <w:rFonts w:hint="eastAsia"/>
              </w:rPr>
              <w:t>，有清晰、醒目的危险区域警示标识</w:t>
            </w:r>
            <w:r>
              <w:t>。</w:t>
            </w:r>
          </w:p>
          <w:p w14:paraId="1F91995F">
            <w:pPr>
              <w:pStyle w:val="57"/>
              <w:ind w:firstLine="0" w:firstLineChars="0"/>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A2F0BB3">
            <w:pPr>
              <w:spacing w:line="240" w:lineRule="exact"/>
              <w:rPr>
                <w:rFonts w:ascii="宋体" w:hAnsi="宋体" w:cs="宋体"/>
                <w:sz w:val="18"/>
                <w:szCs w:val="18"/>
              </w:rPr>
            </w:pPr>
          </w:p>
        </w:tc>
      </w:tr>
      <w:tr w14:paraId="5EBF7A57">
        <w:tblPrEx>
          <w:tblCellMar>
            <w:top w:w="0" w:type="dxa"/>
            <w:left w:w="108" w:type="dxa"/>
            <w:bottom w:w="0" w:type="dxa"/>
            <w:right w:w="108" w:type="dxa"/>
          </w:tblCellMar>
        </w:tblPrEx>
        <w:trPr>
          <w:trHeight w:val="832"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8572834">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12</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544308CD">
            <w:pPr>
              <w:pStyle w:val="57"/>
              <w:ind w:firstLine="0" w:firstLineChars="0"/>
            </w:pPr>
            <w:r>
              <w:rPr>
                <w:rFonts w:hint="eastAsia"/>
              </w:rPr>
              <w:t>具有设置合理且健全的组织结构，完备的管理制度，良好的运营机制，制定完善的各部门人员岗位职责、人员工作管理流程与工作制度，并定期对职员进行业务培训。</w:t>
            </w:r>
          </w:p>
          <w:p w14:paraId="7E9BBAF8">
            <w:pPr>
              <w:pStyle w:val="57"/>
              <w:ind w:firstLine="0" w:firstLineChars="0"/>
            </w:pP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6FC1A21">
            <w:pPr>
              <w:spacing w:line="240" w:lineRule="exact"/>
              <w:rPr>
                <w:rFonts w:ascii="宋体" w:hAnsi="宋体" w:cs="宋体"/>
                <w:sz w:val="18"/>
                <w:szCs w:val="18"/>
              </w:rPr>
            </w:pPr>
          </w:p>
        </w:tc>
      </w:tr>
      <w:tr w14:paraId="633FC80A">
        <w:tblPrEx>
          <w:tblCellMar>
            <w:top w:w="0" w:type="dxa"/>
            <w:left w:w="108" w:type="dxa"/>
            <w:bottom w:w="0" w:type="dxa"/>
            <w:right w:w="108" w:type="dxa"/>
          </w:tblCellMar>
        </w:tblPrEx>
        <w:trPr>
          <w:trHeight w:val="53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46387E0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13</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47425BFF">
            <w:pPr>
              <w:pStyle w:val="25"/>
              <w:autoSpaceDE w:val="0"/>
              <w:autoSpaceDN w:val="0"/>
              <w:spacing w:line="0" w:lineRule="atLeast"/>
              <w:ind w:left="-17" w:leftChars="-8" w:right="44" w:rightChars="21" w:firstLine="10" w:firstLineChars="5"/>
              <w:jc w:val="both"/>
              <w:textAlignment w:val="center"/>
              <w:rPr>
                <w:rFonts w:ascii="宋体"/>
                <w:sz w:val="21"/>
                <w:szCs w:val="20"/>
              </w:rPr>
            </w:pPr>
            <w:r>
              <w:rPr>
                <w:rFonts w:hint="eastAsia" w:ascii="宋体"/>
                <w:sz w:val="21"/>
                <w:szCs w:val="20"/>
              </w:rPr>
              <w:t>场地内至少配备一台自动体外除颤仪（</w:t>
            </w:r>
            <w:r>
              <w:rPr>
                <w:rFonts w:hint="eastAsia" w:ascii="宋体"/>
                <w:sz w:val="21"/>
                <w:szCs w:val="20"/>
                <w:lang w:eastAsia="zh-CN"/>
              </w:rPr>
              <w:t>AED</w:t>
            </w:r>
            <w:r>
              <w:rPr>
                <w:rFonts w:hint="eastAsia" w:ascii="宋体"/>
                <w:sz w:val="21"/>
                <w:szCs w:val="20"/>
              </w:rPr>
              <w:t>）。</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843B02A">
            <w:pPr>
              <w:spacing w:line="240" w:lineRule="exact"/>
              <w:rPr>
                <w:rFonts w:ascii="宋体" w:hAnsi="宋体" w:cs="宋体"/>
                <w:sz w:val="18"/>
                <w:szCs w:val="18"/>
              </w:rPr>
            </w:pPr>
          </w:p>
        </w:tc>
      </w:tr>
      <w:tr w14:paraId="6621CF58">
        <w:tblPrEx>
          <w:tblCellMar>
            <w:top w:w="0" w:type="dxa"/>
            <w:left w:w="108" w:type="dxa"/>
            <w:bottom w:w="0" w:type="dxa"/>
            <w:right w:w="108" w:type="dxa"/>
          </w:tblCellMar>
        </w:tblPrEx>
        <w:trPr>
          <w:trHeight w:val="533" w:hRule="exact"/>
          <w:jc w:val="cent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09CD2068">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14</w:t>
            </w:r>
          </w:p>
        </w:tc>
        <w:tc>
          <w:tcPr>
            <w:tcW w:w="6058" w:type="dxa"/>
            <w:tcBorders>
              <w:top w:val="single" w:color="000000" w:sz="4" w:space="0"/>
              <w:left w:val="single" w:color="000000" w:sz="4" w:space="0"/>
              <w:bottom w:val="single" w:color="000000" w:sz="4" w:space="0"/>
              <w:right w:val="single" w:color="000000" w:sz="4" w:space="0"/>
            </w:tcBorders>
            <w:noWrap/>
            <w:vAlign w:val="center"/>
          </w:tcPr>
          <w:p w14:paraId="7B2DCADD">
            <w:pPr>
              <w:pStyle w:val="25"/>
              <w:autoSpaceDE w:val="0"/>
              <w:autoSpaceDN w:val="0"/>
              <w:spacing w:line="0" w:lineRule="atLeast"/>
              <w:ind w:left="-17" w:leftChars="-8" w:right="44" w:rightChars="21" w:firstLine="10" w:firstLineChars="5"/>
              <w:jc w:val="both"/>
              <w:textAlignment w:val="center"/>
              <w:rPr>
                <w:rFonts w:ascii="宋体"/>
                <w:sz w:val="21"/>
                <w:szCs w:val="20"/>
              </w:rPr>
            </w:pPr>
            <w:r>
              <w:rPr>
                <w:rFonts w:hint="eastAsia" w:ascii="宋体"/>
                <w:kern w:val="0"/>
                <w:sz w:val="21"/>
                <w:szCs w:val="20"/>
              </w:rPr>
              <w:t>除不可抗外力，因维修、保养、安全、训练、赛事等原因，不能向社会开放或调整开放时间的，应提前7日向公众公示。</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685D88CC">
            <w:pPr>
              <w:spacing w:line="240" w:lineRule="exact"/>
              <w:rPr>
                <w:rFonts w:ascii="宋体" w:hAnsi="宋体" w:cs="宋体"/>
                <w:sz w:val="18"/>
                <w:szCs w:val="18"/>
              </w:rPr>
            </w:pPr>
          </w:p>
        </w:tc>
      </w:tr>
      <w:tr w14:paraId="31EF4E3B">
        <w:tblPrEx>
          <w:tblCellMar>
            <w:top w:w="0" w:type="dxa"/>
            <w:left w:w="108" w:type="dxa"/>
            <w:bottom w:w="0" w:type="dxa"/>
            <w:right w:w="108" w:type="dxa"/>
          </w:tblCellMar>
        </w:tblPrEx>
        <w:trPr>
          <w:trHeight w:val="520" w:hRule="atLeast"/>
          <w:jc w:val="center"/>
        </w:trPr>
        <w:tc>
          <w:tcPr>
            <w:tcW w:w="6767" w:type="dxa"/>
            <w:gridSpan w:val="2"/>
            <w:tcBorders>
              <w:top w:val="single" w:color="000000" w:sz="4" w:space="0"/>
              <w:left w:val="single" w:color="000000" w:sz="4" w:space="0"/>
              <w:bottom w:val="single" w:color="000000" w:sz="4" w:space="0"/>
              <w:right w:val="single" w:color="000000" w:sz="4" w:space="0"/>
            </w:tcBorders>
            <w:noWrap/>
            <w:vAlign w:val="center"/>
          </w:tcPr>
          <w:p w14:paraId="0D5271BD">
            <w:pPr>
              <w:pStyle w:val="25"/>
              <w:autoSpaceDE w:val="0"/>
              <w:autoSpaceDN w:val="0"/>
              <w:spacing w:line="240" w:lineRule="exact"/>
              <w:ind w:left="-17" w:leftChars="-8" w:right="44" w:rightChars="21" w:firstLine="9" w:firstLineChars="5"/>
              <w:jc w:val="center"/>
              <w:textAlignment w:val="center"/>
              <w:rPr>
                <w:rFonts w:ascii="黑体" w:hAnsi="黑体" w:eastAsia="黑体" w:cs="宋体"/>
                <w:kern w:val="0"/>
                <w:sz w:val="18"/>
                <w:szCs w:val="18"/>
                <w:lang w:bidi="ar"/>
              </w:rPr>
            </w:pPr>
            <w:r>
              <w:rPr>
                <w:rFonts w:hint="eastAsia" w:ascii="黑体" w:hAnsi="黑体" w:eastAsia="黑体" w:cs="宋体"/>
                <w:kern w:val="0"/>
                <w:sz w:val="18"/>
                <w:szCs w:val="18"/>
                <w:lang w:bidi="ar"/>
              </w:rPr>
              <w:t>合格性评定结果</w:t>
            </w:r>
          </w:p>
        </w:tc>
        <w:tc>
          <w:tcPr>
            <w:tcW w:w="3020" w:type="dxa"/>
            <w:tcBorders>
              <w:top w:val="single" w:color="000000" w:sz="4" w:space="0"/>
              <w:left w:val="single" w:color="000000" w:sz="4" w:space="0"/>
              <w:bottom w:val="single" w:color="000000" w:sz="4" w:space="0"/>
              <w:right w:val="single" w:color="000000" w:sz="4" w:space="0"/>
            </w:tcBorders>
            <w:noWrap/>
            <w:vAlign w:val="center"/>
          </w:tcPr>
          <w:p w14:paraId="3FF6F6FF">
            <w:pPr>
              <w:spacing w:line="240" w:lineRule="exact"/>
              <w:rPr>
                <w:rFonts w:ascii="宋体" w:hAnsi="宋体" w:cs="宋体"/>
                <w:sz w:val="18"/>
                <w:szCs w:val="18"/>
              </w:rPr>
            </w:pPr>
          </w:p>
        </w:tc>
      </w:tr>
    </w:tbl>
    <w:p w14:paraId="2E890752">
      <w:pPr>
        <w:pStyle w:val="166"/>
        <w:numPr>
          <w:ilvl w:val="3"/>
          <w:numId w:val="0"/>
        </w:numPr>
      </w:pPr>
    </w:p>
    <w:p w14:paraId="1F37E7C0">
      <w:pPr>
        <w:pStyle w:val="166"/>
        <w:numPr>
          <w:ilvl w:val="3"/>
          <w:numId w:val="0"/>
        </w:numPr>
      </w:pPr>
    </w:p>
    <w:bookmarkEnd w:id="12"/>
    <w:p w14:paraId="7DE59009">
      <w:pPr>
        <w:pStyle w:val="77"/>
        <w:spacing w:before="60" w:after="120"/>
        <w:jc w:val="center"/>
        <w:rPr>
          <w:highlight w:val="none"/>
        </w:rPr>
      </w:pPr>
      <w:bookmarkStart w:id="44" w:name="_Toc29634"/>
      <w:bookmarkStart w:id="45" w:name="BookMark5"/>
      <w:r>
        <w:rPr>
          <w:highlight w:val="none"/>
        </w:rPr>
        <w:br w:type="textWrapping"/>
      </w:r>
      <w:r>
        <w:rPr>
          <w:rFonts w:hint="eastAsia"/>
          <w:highlight w:val="none"/>
        </w:rPr>
        <w:t>（规范性）</w:t>
      </w:r>
      <w:bookmarkEnd w:id="44"/>
    </w:p>
    <w:p w14:paraId="793FFD0F">
      <w:pPr>
        <w:pStyle w:val="57"/>
        <w:ind w:left="0" w:leftChars="0" w:firstLine="0" w:firstLineChars="0"/>
        <w:jc w:val="center"/>
        <w:rPr>
          <w:highlight w:val="none"/>
        </w:rPr>
      </w:pPr>
      <w:r>
        <w:rPr>
          <w:rFonts w:hint="eastAsia" w:ascii="黑体" w:eastAsia="黑体"/>
          <w:highlight w:val="none"/>
        </w:rPr>
        <w:t>游泳池（馆）运营管理服务质量评分表</w:t>
      </w:r>
    </w:p>
    <w:p w14:paraId="0D339800">
      <w:pPr>
        <w:pStyle w:val="78"/>
        <w:numPr>
          <w:ilvl w:val="1"/>
          <w:numId w:val="0"/>
        </w:numPr>
        <w:spacing w:before="120" w:after="120"/>
        <w:jc w:val="center"/>
        <w:rPr>
          <w:rFonts w:ascii="宋体" w:eastAsia="宋体"/>
          <w:b/>
          <w:bCs/>
          <w:kern w:val="0"/>
          <w:highlight w:val="none"/>
        </w:rPr>
      </w:pPr>
      <w:r>
        <w:rPr>
          <w:rFonts w:hint="eastAsia" w:ascii="宋体" w:eastAsia="宋体"/>
          <w:b/>
          <w:bCs/>
          <w:kern w:val="0"/>
          <w:highlight w:val="none"/>
        </w:rPr>
        <w:t>表B.1游泳池（馆）运营管理服务服务质量的硬件设施评分表</w:t>
      </w:r>
    </w:p>
    <w:tbl>
      <w:tblPr>
        <w:tblStyle w:val="28"/>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6379"/>
        <w:gridCol w:w="708"/>
        <w:gridCol w:w="1701"/>
        <w:gridCol w:w="709"/>
      </w:tblGrid>
      <w:tr w14:paraId="409F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E8F924C">
            <w:pPr>
              <w:pStyle w:val="57"/>
              <w:ind w:firstLine="0" w:firstLineChars="0"/>
              <w:jc w:val="center"/>
              <w:rPr>
                <w:sz w:val="18"/>
                <w:szCs w:val="18"/>
                <w:lang w:bidi="ar"/>
              </w:rPr>
            </w:pPr>
            <w:r>
              <w:rPr>
                <w:rFonts w:hint="eastAsia"/>
                <w:sz w:val="18"/>
                <w:szCs w:val="18"/>
                <w:lang w:bidi="ar"/>
              </w:rPr>
              <w:t>序号</w:t>
            </w:r>
          </w:p>
        </w:tc>
        <w:tc>
          <w:tcPr>
            <w:tcW w:w="6379" w:type="dxa"/>
            <w:vAlign w:val="center"/>
          </w:tcPr>
          <w:p w14:paraId="27D021B6">
            <w:pPr>
              <w:pStyle w:val="57"/>
              <w:ind w:firstLine="0" w:firstLineChars="0"/>
              <w:jc w:val="center"/>
              <w:rPr>
                <w:sz w:val="18"/>
                <w:szCs w:val="18"/>
                <w:lang w:bidi="ar"/>
              </w:rPr>
            </w:pPr>
            <w:r>
              <w:rPr>
                <w:rFonts w:hint="eastAsia" w:hAnsi="宋体" w:cs="宋体"/>
                <w:sz w:val="18"/>
                <w:szCs w:val="18"/>
                <w:lang w:bidi="ar"/>
              </w:rPr>
              <w:t>指标</w:t>
            </w:r>
          </w:p>
        </w:tc>
        <w:tc>
          <w:tcPr>
            <w:tcW w:w="708" w:type="dxa"/>
            <w:vAlign w:val="center"/>
          </w:tcPr>
          <w:p w14:paraId="3F6A25C7">
            <w:pPr>
              <w:pStyle w:val="57"/>
              <w:ind w:firstLine="0" w:firstLineChars="0"/>
              <w:jc w:val="center"/>
              <w:rPr>
                <w:sz w:val="18"/>
                <w:szCs w:val="18"/>
                <w:lang w:bidi="ar"/>
              </w:rPr>
            </w:pPr>
            <w:r>
              <w:rPr>
                <w:rFonts w:hint="eastAsia" w:hAnsi="宋体" w:cs="宋体"/>
                <w:sz w:val="18"/>
                <w:szCs w:val="18"/>
              </w:rPr>
              <w:t>指标分值</w:t>
            </w:r>
          </w:p>
        </w:tc>
        <w:tc>
          <w:tcPr>
            <w:tcW w:w="1701" w:type="dxa"/>
            <w:vAlign w:val="center"/>
          </w:tcPr>
          <w:p w14:paraId="2CEB47E1">
            <w:pPr>
              <w:pStyle w:val="57"/>
              <w:ind w:firstLine="0" w:firstLineChars="0"/>
              <w:jc w:val="center"/>
              <w:rPr>
                <w:sz w:val="18"/>
                <w:szCs w:val="18"/>
                <w:lang w:bidi="ar"/>
              </w:rPr>
            </w:pPr>
            <w:r>
              <w:rPr>
                <w:rFonts w:hint="eastAsia" w:hAnsi="宋体" w:cs="宋体"/>
                <w:sz w:val="18"/>
                <w:szCs w:val="18"/>
                <w:lang w:bidi="ar"/>
              </w:rPr>
              <w:t>评定办法</w:t>
            </w:r>
          </w:p>
        </w:tc>
        <w:tc>
          <w:tcPr>
            <w:tcW w:w="709" w:type="dxa"/>
            <w:vAlign w:val="center"/>
          </w:tcPr>
          <w:p w14:paraId="5477123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评定</w:t>
            </w:r>
          </w:p>
          <w:p w14:paraId="7317F9A4">
            <w:pPr>
              <w:pStyle w:val="57"/>
              <w:ind w:firstLine="0" w:firstLineChars="0"/>
              <w:jc w:val="center"/>
              <w:rPr>
                <w:sz w:val="18"/>
                <w:szCs w:val="18"/>
                <w:lang w:bidi="ar"/>
              </w:rPr>
            </w:pPr>
            <w:r>
              <w:rPr>
                <w:rFonts w:hint="eastAsia" w:hAnsi="宋体" w:cs="宋体"/>
                <w:sz w:val="18"/>
                <w:szCs w:val="18"/>
                <w:lang w:bidi="ar"/>
              </w:rPr>
              <w:t>得分</w:t>
            </w:r>
          </w:p>
        </w:tc>
      </w:tr>
      <w:tr w14:paraId="06D8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59FAD87">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w:t>
            </w:r>
          </w:p>
        </w:tc>
        <w:tc>
          <w:tcPr>
            <w:tcW w:w="6379" w:type="dxa"/>
            <w:vAlign w:val="center"/>
          </w:tcPr>
          <w:p w14:paraId="493800E7">
            <w:pPr>
              <w:pStyle w:val="57"/>
              <w:spacing w:line="0" w:lineRule="atLeast"/>
              <w:ind w:firstLine="0" w:firstLineChars="0"/>
              <w:rPr>
                <w:sz w:val="18"/>
                <w:szCs w:val="18"/>
                <w:lang w:bidi="ar"/>
              </w:rPr>
            </w:pPr>
            <w:r>
              <w:rPr>
                <w:rFonts w:hint="eastAsia" w:hAnsi="宋体" w:cs="宋体"/>
                <w:sz w:val="18"/>
                <w:szCs w:val="18"/>
                <w:lang w:bidi="ar"/>
              </w:rPr>
              <w:t>游泳池应配置池水循环、净化、消毒处理设备，游泳池内的排水设施应设置安全防护罩。水处理设备应符合《游泳池给水排水工程技术规程》（CJJ122-2017）的要求。</w:t>
            </w:r>
          </w:p>
        </w:tc>
        <w:tc>
          <w:tcPr>
            <w:tcW w:w="708" w:type="dxa"/>
            <w:vAlign w:val="center"/>
          </w:tcPr>
          <w:p w14:paraId="65B07D95">
            <w:pPr>
              <w:pStyle w:val="57"/>
              <w:ind w:firstLine="0" w:firstLineChars="0"/>
              <w:jc w:val="center"/>
              <w:rPr>
                <w:lang w:bidi="ar"/>
              </w:rPr>
            </w:pPr>
            <w:r>
              <w:rPr>
                <w:rFonts w:hint="eastAsia"/>
                <w:lang w:bidi="ar"/>
              </w:rPr>
              <w:t>2</w:t>
            </w:r>
          </w:p>
        </w:tc>
        <w:tc>
          <w:tcPr>
            <w:tcW w:w="1701" w:type="dxa"/>
            <w:vAlign w:val="center"/>
          </w:tcPr>
          <w:p w14:paraId="4947B8B0">
            <w:pPr>
              <w:pStyle w:val="57"/>
              <w:ind w:firstLine="0" w:firstLineChars="0"/>
              <w:jc w:val="left"/>
              <w:rPr>
                <w:sz w:val="18"/>
                <w:szCs w:val="18"/>
                <w:lang w:bidi="ar"/>
              </w:rPr>
            </w:pPr>
            <w:r>
              <w:rPr>
                <w:rFonts w:hint="eastAsia"/>
                <w:sz w:val="18"/>
                <w:szCs w:val="18"/>
              </w:rPr>
              <w:t>满足得2分。</w:t>
            </w:r>
          </w:p>
        </w:tc>
        <w:tc>
          <w:tcPr>
            <w:tcW w:w="709" w:type="dxa"/>
          </w:tcPr>
          <w:p w14:paraId="2832CF5D">
            <w:pPr>
              <w:pStyle w:val="57"/>
              <w:ind w:firstLine="0" w:firstLineChars="0"/>
              <w:rPr>
                <w:lang w:bidi="ar"/>
              </w:rPr>
            </w:pPr>
          </w:p>
        </w:tc>
      </w:tr>
      <w:tr w14:paraId="50B9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534139B">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w:t>
            </w:r>
          </w:p>
        </w:tc>
        <w:tc>
          <w:tcPr>
            <w:tcW w:w="6379" w:type="dxa"/>
            <w:vAlign w:val="center"/>
          </w:tcPr>
          <w:p w14:paraId="73A4C30A">
            <w:pPr>
              <w:pStyle w:val="57"/>
              <w:spacing w:line="0" w:lineRule="atLeast"/>
              <w:ind w:firstLine="0" w:firstLineChars="0"/>
              <w:rPr>
                <w:sz w:val="18"/>
                <w:szCs w:val="18"/>
                <w:lang w:bidi="ar"/>
              </w:rPr>
            </w:pPr>
            <w:r>
              <w:rPr>
                <w:rFonts w:hint="eastAsia" w:hAnsi="宋体" w:cs="宋体"/>
                <w:sz w:val="18"/>
                <w:szCs w:val="18"/>
                <w:lang w:bidi="ar"/>
              </w:rPr>
              <w:t>游泳池（馆）智能化，包括：人员进出管理智能化、自助储物柜、自助手环收发机、AI健身指导、智慧能耗（控电控水）、行为识别AI监控等功能。</w:t>
            </w:r>
          </w:p>
        </w:tc>
        <w:tc>
          <w:tcPr>
            <w:tcW w:w="708" w:type="dxa"/>
            <w:vAlign w:val="center"/>
          </w:tcPr>
          <w:p w14:paraId="3FDB4B1D">
            <w:pPr>
              <w:pStyle w:val="57"/>
              <w:ind w:firstLine="0" w:firstLineChars="0"/>
              <w:jc w:val="center"/>
              <w:rPr>
                <w:lang w:bidi="ar"/>
              </w:rPr>
            </w:pPr>
            <w:r>
              <w:rPr>
                <w:rFonts w:hint="eastAsia"/>
                <w:lang w:bidi="ar"/>
              </w:rPr>
              <w:t>2</w:t>
            </w:r>
          </w:p>
        </w:tc>
        <w:tc>
          <w:tcPr>
            <w:tcW w:w="1701" w:type="dxa"/>
            <w:vAlign w:val="center"/>
          </w:tcPr>
          <w:p w14:paraId="6F5A4C2A">
            <w:pPr>
              <w:pStyle w:val="57"/>
              <w:ind w:firstLine="0" w:firstLineChars="0"/>
              <w:jc w:val="left"/>
              <w:rPr>
                <w:sz w:val="18"/>
                <w:szCs w:val="18"/>
                <w:lang w:bidi="ar"/>
              </w:rPr>
            </w:pPr>
            <w:r>
              <w:rPr>
                <w:rFonts w:hint="eastAsia"/>
                <w:sz w:val="18"/>
                <w:szCs w:val="18"/>
              </w:rPr>
              <w:t>具备1项得0.5分，总分2分。</w:t>
            </w:r>
          </w:p>
        </w:tc>
        <w:tc>
          <w:tcPr>
            <w:tcW w:w="709" w:type="dxa"/>
          </w:tcPr>
          <w:p w14:paraId="25658D90">
            <w:pPr>
              <w:pStyle w:val="57"/>
              <w:ind w:firstLine="0" w:firstLineChars="0"/>
              <w:rPr>
                <w:lang w:bidi="ar"/>
              </w:rPr>
            </w:pPr>
          </w:p>
        </w:tc>
      </w:tr>
      <w:tr w14:paraId="3BCD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B8CA354">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3</w:t>
            </w:r>
          </w:p>
        </w:tc>
        <w:tc>
          <w:tcPr>
            <w:tcW w:w="6379" w:type="dxa"/>
            <w:vAlign w:val="center"/>
          </w:tcPr>
          <w:p w14:paraId="1322A5BA">
            <w:pPr>
              <w:pStyle w:val="57"/>
              <w:spacing w:line="0" w:lineRule="atLeast"/>
              <w:ind w:firstLine="0" w:firstLineChars="0"/>
              <w:rPr>
                <w:sz w:val="18"/>
                <w:szCs w:val="18"/>
                <w:lang w:bidi="ar"/>
              </w:rPr>
            </w:pPr>
            <w:r>
              <w:rPr>
                <w:rFonts w:hint="eastAsia" w:hAnsi="宋体" w:cs="宋体"/>
                <w:sz w:val="18"/>
                <w:szCs w:val="18"/>
                <w:lang w:bidi="ar"/>
              </w:rPr>
              <w:t>游泳池应无视线盲区，游泳池池壁及池底应光洁、不渗水、呈浅色。</w:t>
            </w:r>
          </w:p>
        </w:tc>
        <w:tc>
          <w:tcPr>
            <w:tcW w:w="708" w:type="dxa"/>
            <w:vAlign w:val="center"/>
          </w:tcPr>
          <w:p w14:paraId="0E9D5A76">
            <w:pPr>
              <w:pStyle w:val="57"/>
              <w:ind w:firstLine="0" w:firstLineChars="0"/>
              <w:jc w:val="center"/>
              <w:rPr>
                <w:lang w:bidi="ar"/>
              </w:rPr>
            </w:pPr>
            <w:r>
              <w:rPr>
                <w:rFonts w:hint="eastAsia"/>
                <w:lang w:bidi="ar"/>
              </w:rPr>
              <w:t>1</w:t>
            </w:r>
          </w:p>
        </w:tc>
        <w:tc>
          <w:tcPr>
            <w:tcW w:w="1701" w:type="dxa"/>
            <w:vAlign w:val="center"/>
          </w:tcPr>
          <w:p w14:paraId="4F091034">
            <w:pPr>
              <w:pStyle w:val="57"/>
              <w:ind w:firstLine="0" w:firstLineChars="0"/>
              <w:jc w:val="left"/>
              <w:rPr>
                <w:sz w:val="18"/>
                <w:szCs w:val="18"/>
                <w:lang w:bidi="ar"/>
              </w:rPr>
            </w:pPr>
            <w:r>
              <w:rPr>
                <w:rFonts w:hint="eastAsia"/>
                <w:sz w:val="18"/>
                <w:szCs w:val="18"/>
              </w:rPr>
              <w:t>满足得1分。</w:t>
            </w:r>
          </w:p>
        </w:tc>
        <w:tc>
          <w:tcPr>
            <w:tcW w:w="709" w:type="dxa"/>
          </w:tcPr>
          <w:p w14:paraId="6C72CAB9">
            <w:pPr>
              <w:pStyle w:val="57"/>
              <w:ind w:firstLine="0" w:firstLineChars="0"/>
              <w:rPr>
                <w:lang w:bidi="ar"/>
              </w:rPr>
            </w:pPr>
          </w:p>
        </w:tc>
      </w:tr>
      <w:tr w14:paraId="6738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06977DA">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4</w:t>
            </w:r>
          </w:p>
        </w:tc>
        <w:tc>
          <w:tcPr>
            <w:tcW w:w="6379" w:type="dxa"/>
            <w:vAlign w:val="center"/>
          </w:tcPr>
          <w:p w14:paraId="1A27810C">
            <w:pPr>
              <w:pStyle w:val="57"/>
              <w:spacing w:line="0" w:lineRule="atLeast"/>
              <w:ind w:firstLine="0" w:firstLineChars="0"/>
              <w:rPr>
                <w:sz w:val="18"/>
                <w:szCs w:val="18"/>
                <w:lang w:bidi="ar"/>
              </w:rPr>
            </w:pPr>
            <w:r>
              <w:rPr>
                <w:rFonts w:hint="eastAsia" w:hAnsi="宋体" w:cs="宋体"/>
                <w:sz w:val="18"/>
                <w:szCs w:val="18"/>
              </w:rPr>
              <w:t>游泳池浅水区水深应不大于1.2m，儿童游泳池的水深应不大于0.8m且不应配备戏水设备。且池面应设有醒目的水深度标识、深浅水区警示标识，或标志明显的深、浅水隔离带。</w:t>
            </w:r>
          </w:p>
        </w:tc>
        <w:tc>
          <w:tcPr>
            <w:tcW w:w="708" w:type="dxa"/>
            <w:vAlign w:val="center"/>
          </w:tcPr>
          <w:p w14:paraId="2A52C344">
            <w:pPr>
              <w:pStyle w:val="57"/>
              <w:ind w:firstLine="0" w:firstLineChars="0"/>
              <w:jc w:val="center"/>
              <w:rPr>
                <w:lang w:bidi="ar"/>
              </w:rPr>
            </w:pPr>
            <w:r>
              <w:rPr>
                <w:rFonts w:hint="eastAsia"/>
                <w:lang w:bidi="ar"/>
              </w:rPr>
              <w:t>1</w:t>
            </w:r>
          </w:p>
        </w:tc>
        <w:tc>
          <w:tcPr>
            <w:tcW w:w="1701" w:type="dxa"/>
            <w:vAlign w:val="center"/>
          </w:tcPr>
          <w:p w14:paraId="09F94C17">
            <w:pPr>
              <w:pStyle w:val="57"/>
              <w:ind w:firstLine="0" w:firstLineChars="0"/>
              <w:jc w:val="left"/>
              <w:rPr>
                <w:sz w:val="18"/>
                <w:szCs w:val="18"/>
                <w:lang w:bidi="ar"/>
              </w:rPr>
            </w:pPr>
            <w:r>
              <w:rPr>
                <w:rFonts w:hint="eastAsia"/>
                <w:sz w:val="18"/>
                <w:szCs w:val="18"/>
              </w:rPr>
              <w:t>满足得1分。</w:t>
            </w:r>
          </w:p>
        </w:tc>
        <w:tc>
          <w:tcPr>
            <w:tcW w:w="709" w:type="dxa"/>
          </w:tcPr>
          <w:p w14:paraId="4CA1642E">
            <w:pPr>
              <w:pStyle w:val="57"/>
              <w:ind w:firstLine="0" w:firstLineChars="0"/>
              <w:rPr>
                <w:lang w:bidi="ar"/>
              </w:rPr>
            </w:pPr>
          </w:p>
        </w:tc>
      </w:tr>
      <w:tr w14:paraId="4724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ABEE636">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5</w:t>
            </w:r>
          </w:p>
        </w:tc>
        <w:tc>
          <w:tcPr>
            <w:tcW w:w="6379" w:type="dxa"/>
            <w:vAlign w:val="center"/>
          </w:tcPr>
          <w:p w14:paraId="5C762FCC">
            <w:pPr>
              <w:pStyle w:val="57"/>
              <w:spacing w:line="0" w:lineRule="atLeast"/>
              <w:ind w:firstLine="0" w:firstLineChars="0"/>
              <w:rPr>
                <w:sz w:val="18"/>
                <w:szCs w:val="18"/>
                <w:lang w:bidi="ar"/>
              </w:rPr>
            </w:pPr>
            <w:r>
              <w:rPr>
                <w:rFonts w:hint="eastAsia" w:hAnsi="宋体" w:cs="宋体"/>
                <w:sz w:val="18"/>
                <w:szCs w:val="18"/>
                <w:lang w:bidi="ar"/>
              </w:rPr>
              <w:t>游泳池内人均面积应不小于2.5㎡，游泳池岸四周宽度不小于1.5m。</w:t>
            </w:r>
          </w:p>
        </w:tc>
        <w:tc>
          <w:tcPr>
            <w:tcW w:w="708" w:type="dxa"/>
            <w:vAlign w:val="center"/>
          </w:tcPr>
          <w:p w14:paraId="6A9953C7">
            <w:pPr>
              <w:pStyle w:val="57"/>
              <w:ind w:firstLine="0" w:firstLineChars="0"/>
              <w:jc w:val="center"/>
              <w:rPr>
                <w:lang w:bidi="ar"/>
              </w:rPr>
            </w:pPr>
            <w:r>
              <w:rPr>
                <w:rFonts w:hint="eastAsia"/>
                <w:lang w:bidi="ar"/>
              </w:rPr>
              <w:t>1</w:t>
            </w:r>
          </w:p>
        </w:tc>
        <w:tc>
          <w:tcPr>
            <w:tcW w:w="1701" w:type="dxa"/>
            <w:vAlign w:val="center"/>
          </w:tcPr>
          <w:p w14:paraId="6832293C">
            <w:pPr>
              <w:pStyle w:val="57"/>
              <w:ind w:firstLine="0" w:firstLineChars="0"/>
              <w:jc w:val="left"/>
              <w:rPr>
                <w:sz w:val="18"/>
                <w:szCs w:val="18"/>
                <w:lang w:bidi="ar"/>
              </w:rPr>
            </w:pPr>
            <w:r>
              <w:rPr>
                <w:rFonts w:hint="eastAsia"/>
                <w:sz w:val="18"/>
                <w:szCs w:val="18"/>
              </w:rPr>
              <w:t>满足得1分。</w:t>
            </w:r>
          </w:p>
        </w:tc>
        <w:tc>
          <w:tcPr>
            <w:tcW w:w="709" w:type="dxa"/>
          </w:tcPr>
          <w:p w14:paraId="599427E3">
            <w:pPr>
              <w:pStyle w:val="57"/>
              <w:ind w:firstLine="0" w:firstLineChars="0"/>
              <w:rPr>
                <w:lang w:bidi="ar"/>
              </w:rPr>
            </w:pPr>
          </w:p>
        </w:tc>
      </w:tr>
      <w:tr w14:paraId="42E4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52D1A75">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6</w:t>
            </w:r>
          </w:p>
        </w:tc>
        <w:tc>
          <w:tcPr>
            <w:tcW w:w="6379" w:type="dxa"/>
            <w:vAlign w:val="center"/>
          </w:tcPr>
          <w:p w14:paraId="57D2CC50">
            <w:pPr>
              <w:pStyle w:val="57"/>
              <w:spacing w:line="0" w:lineRule="atLeast"/>
              <w:ind w:firstLine="0" w:firstLineChars="0"/>
              <w:rPr>
                <w:sz w:val="18"/>
                <w:szCs w:val="18"/>
                <w:lang w:bidi="ar"/>
              </w:rPr>
            </w:pPr>
            <w:r>
              <w:rPr>
                <w:rFonts w:hint="eastAsia" w:hAnsi="宋体" w:cs="宋体"/>
                <w:sz w:val="18"/>
                <w:szCs w:val="18"/>
                <w:lang w:bidi="ar"/>
              </w:rPr>
              <w:t>水面面积在500m²以下的游泳池应至少设置2个出入水扶梯，水面面积在500m²及以上的游泳池应至少设置4个出入水扶梯。扶梯应经过光滑倒角处理，不应有粗糙或锐角部位。</w:t>
            </w:r>
          </w:p>
        </w:tc>
        <w:tc>
          <w:tcPr>
            <w:tcW w:w="708" w:type="dxa"/>
            <w:vAlign w:val="center"/>
          </w:tcPr>
          <w:p w14:paraId="13D0D4E6">
            <w:pPr>
              <w:pStyle w:val="57"/>
              <w:ind w:firstLine="0" w:firstLineChars="0"/>
              <w:jc w:val="center"/>
              <w:rPr>
                <w:lang w:bidi="ar"/>
              </w:rPr>
            </w:pPr>
            <w:r>
              <w:rPr>
                <w:rFonts w:hint="eastAsia"/>
                <w:lang w:bidi="ar"/>
              </w:rPr>
              <w:t>1</w:t>
            </w:r>
          </w:p>
        </w:tc>
        <w:tc>
          <w:tcPr>
            <w:tcW w:w="1701" w:type="dxa"/>
            <w:vAlign w:val="center"/>
          </w:tcPr>
          <w:p w14:paraId="1541757C">
            <w:pPr>
              <w:pStyle w:val="57"/>
              <w:ind w:firstLine="0" w:firstLineChars="0"/>
              <w:jc w:val="left"/>
              <w:rPr>
                <w:sz w:val="18"/>
                <w:szCs w:val="18"/>
                <w:lang w:bidi="ar"/>
              </w:rPr>
            </w:pPr>
            <w:r>
              <w:rPr>
                <w:rFonts w:hint="eastAsia"/>
                <w:sz w:val="18"/>
                <w:szCs w:val="18"/>
              </w:rPr>
              <w:t>满足得1分。</w:t>
            </w:r>
          </w:p>
        </w:tc>
        <w:tc>
          <w:tcPr>
            <w:tcW w:w="709" w:type="dxa"/>
          </w:tcPr>
          <w:p w14:paraId="735C7C81">
            <w:pPr>
              <w:pStyle w:val="57"/>
              <w:ind w:firstLine="0" w:firstLineChars="0"/>
              <w:rPr>
                <w:lang w:bidi="ar"/>
              </w:rPr>
            </w:pPr>
          </w:p>
        </w:tc>
      </w:tr>
      <w:tr w14:paraId="714E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F7C0688">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7</w:t>
            </w:r>
          </w:p>
        </w:tc>
        <w:tc>
          <w:tcPr>
            <w:tcW w:w="6379" w:type="dxa"/>
            <w:vAlign w:val="center"/>
          </w:tcPr>
          <w:p w14:paraId="5837A56E">
            <w:pPr>
              <w:pStyle w:val="57"/>
              <w:spacing w:line="0" w:lineRule="atLeast"/>
              <w:ind w:firstLine="0" w:firstLineChars="0"/>
              <w:rPr>
                <w:sz w:val="18"/>
                <w:szCs w:val="18"/>
                <w:lang w:bidi="ar"/>
              </w:rPr>
            </w:pPr>
            <w:r>
              <w:rPr>
                <w:rFonts w:hint="eastAsia" w:hAnsi="宋体" w:cs="宋体"/>
                <w:sz w:val="18"/>
                <w:szCs w:val="18"/>
                <w:lang w:bidi="ar"/>
              </w:rPr>
              <w:t>水面面积在250㎡以下的游泳池，应至少设置2个救生观察台；水面面积在250㎡及以上的，应按照面积每增加250㎡及以内增设1个救生观察台。救生观察台高度不不低于1.5m。</w:t>
            </w:r>
          </w:p>
        </w:tc>
        <w:tc>
          <w:tcPr>
            <w:tcW w:w="708" w:type="dxa"/>
            <w:vAlign w:val="center"/>
          </w:tcPr>
          <w:p w14:paraId="3B962131">
            <w:pPr>
              <w:pStyle w:val="57"/>
              <w:ind w:firstLine="0" w:firstLineChars="0"/>
              <w:jc w:val="center"/>
              <w:rPr>
                <w:lang w:bidi="ar"/>
              </w:rPr>
            </w:pPr>
            <w:r>
              <w:rPr>
                <w:rFonts w:hint="eastAsia"/>
                <w:lang w:bidi="ar"/>
              </w:rPr>
              <w:t>1</w:t>
            </w:r>
          </w:p>
        </w:tc>
        <w:tc>
          <w:tcPr>
            <w:tcW w:w="1701" w:type="dxa"/>
            <w:vAlign w:val="center"/>
          </w:tcPr>
          <w:p w14:paraId="7A6E3FDD">
            <w:pPr>
              <w:pStyle w:val="57"/>
              <w:ind w:firstLine="0" w:firstLineChars="0"/>
              <w:jc w:val="left"/>
              <w:rPr>
                <w:sz w:val="18"/>
                <w:szCs w:val="18"/>
                <w:lang w:bidi="ar"/>
              </w:rPr>
            </w:pPr>
            <w:r>
              <w:rPr>
                <w:rFonts w:hint="eastAsia"/>
                <w:sz w:val="18"/>
                <w:szCs w:val="18"/>
              </w:rPr>
              <w:t>满足得1分。</w:t>
            </w:r>
          </w:p>
        </w:tc>
        <w:tc>
          <w:tcPr>
            <w:tcW w:w="709" w:type="dxa"/>
          </w:tcPr>
          <w:p w14:paraId="3FDEA247">
            <w:pPr>
              <w:pStyle w:val="57"/>
              <w:ind w:firstLine="0" w:firstLineChars="0"/>
              <w:rPr>
                <w:lang w:bidi="ar"/>
              </w:rPr>
            </w:pPr>
          </w:p>
        </w:tc>
      </w:tr>
      <w:tr w14:paraId="1FE9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B00F960">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8</w:t>
            </w:r>
          </w:p>
        </w:tc>
        <w:tc>
          <w:tcPr>
            <w:tcW w:w="6379" w:type="dxa"/>
            <w:vAlign w:val="center"/>
          </w:tcPr>
          <w:p w14:paraId="039B0909">
            <w:pPr>
              <w:pStyle w:val="57"/>
              <w:spacing w:line="0" w:lineRule="atLeast"/>
              <w:ind w:firstLine="0" w:firstLineChars="0"/>
              <w:rPr>
                <w:sz w:val="18"/>
                <w:szCs w:val="18"/>
                <w:lang w:bidi="ar"/>
              </w:rPr>
            </w:pPr>
            <w:r>
              <w:rPr>
                <w:rFonts w:hint="eastAsia" w:hAnsi="宋体" w:cs="宋体"/>
                <w:sz w:val="18"/>
                <w:szCs w:val="18"/>
              </w:rPr>
              <w:t>游泳池区域的水面水平照度应不低于200lx，若开放夜场应有足够的应急照明灯。</w:t>
            </w:r>
          </w:p>
        </w:tc>
        <w:tc>
          <w:tcPr>
            <w:tcW w:w="708" w:type="dxa"/>
            <w:vAlign w:val="center"/>
          </w:tcPr>
          <w:p w14:paraId="21E85B3A">
            <w:pPr>
              <w:pStyle w:val="57"/>
              <w:ind w:firstLine="0" w:firstLineChars="0"/>
              <w:jc w:val="center"/>
              <w:rPr>
                <w:lang w:bidi="ar"/>
              </w:rPr>
            </w:pPr>
            <w:r>
              <w:rPr>
                <w:rFonts w:hint="eastAsia"/>
                <w:lang w:bidi="ar"/>
              </w:rPr>
              <w:t>1</w:t>
            </w:r>
          </w:p>
        </w:tc>
        <w:tc>
          <w:tcPr>
            <w:tcW w:w="1701" w:type="dxa"/>
            <w:vAlign w:val="center"/>
          </w:tcPr>
          <w:p w14:paraId="61EC4BF7">
            <w:pPr>
              <w:pStyle w:val="57"/>
              <w:ind w:firstLine="0" w:firstLineChars="0"/>
              <w:jc w:val="left"/>
              <w:rPr>
                <w:sz w:val="18"/>
                <w:szCs w:val="18"/>
                <w:lang w:bidi="ar"/>
              </w:rPr>
            </w:pPr>
            <w:r>
              <w:rPr>
                <w:rFonts w:hint="eastAsia"/>
                <w:sz w:val="18"/>
                <w:szCs w:val="18"/>
              </w:rPr>
              <w:t>满足得1分。</w:t>
            </w:r>
          </w:p>
        </w:tc>
        <w:tc>
          <w:tcPr>
            <w:tcW w:w="709" w:type="dxa"/>
          </w:tcPr>
          <w:p w14:paraId="2333B316">
            <w:pPr>
              <w:pStyle w:val="57"/>
              <w:ind w:firstLine="0" w:firstLineChars="0"/>
              <w:rPr>
                <w:lang w:bidi="ar"/>
              </w:rPr>
            </w:pPr>
          </w:p>
        </w:tc>
      </w:tr>
      <w:tr w14:paraId="1DA8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A3294FE">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9</w:t>
            </w:r>
          </w:p>
        </w:tc>
        <w:tc>
          <w:tcPr>
            <w:tcW w:w="6379" w:type="dxa"/>
            <w:vAlign w:val="center"/>
          </w:tcPr>
          <w:p w14:paraId="5C3E079B">
            <w:pPr>
              <w:pStyle w:val="57"/>
              <w:spacing w:line="0" w:lineRule="atLeast"/>
              <w:ind w:firstLine="0" w:firstLineChars="0"/>
              <w:rPr>
                <w:sz w:val="18"/>
                <w:szCs w:val="18"/>
                <w:lang w:bidi="ar"/>
              </w:rPr>
            </w:pPr>
            <w:r>
              <w:rPr>
                <w:rFonts w:hint="eastAsia" w:hAnsi="宋体" w:cs="宋体"/>
                <w:sz w:val="18"/>
                <w:szCs w:val="18"/>
              </w:rPr>
              <w:t>应配备救生浮标、救生圈、救生杆、救生板、救生绳和护颈套等救生器材以及急救药品、氧气袋等急救用品，并妥善摆放在明显位置，取用方便。</w:t>
            </w:r>
          </w:p>
        </w:tc>
        <w:tc>
          <w:tcPr>
            <w:tcW w:w="708" w:type="dxa"/>
            <w:vAlign w:val="center"/>
          </w:tcPr>
          <w:p w14:paraId="31479A81">
            <w:pPr>
              <w:pStyle w:val="57"/>
              <w:ind w:firstLine="0" w:firstLineChars="0"/>
              <w:jc w:val="center"/>
              <w:rPr>
                <w:lang w:bidi="ar"/>
              </w:rPr>
            </w:pPr>
            <w:r>
              <w:rPr>
                <w:rFonts w:hint="eastAsia"/>
                <w:lang w:bidi="ar"/>
              </w:rPr>
              <w:t>1</w:t>
            </w:r>
          </w:p>
        </w:tc>
        <w:tc>
          <w:tcPr>
            <w:tcW w:w="1701" w:type="dxa"/>
            <w:vAlign w:val="center"/>
          </w:tcPr>
          <w:p w14:paraId="33C92760">
            <w:pPr>
              <w:pStyle w:val="57"/>
              <w:ind w:firstLine="0" w:firstLineChars="0"/>
              <w:jc w:val="left"/>
              <w:rPr>
                <w:sz w:val="18"/>
                <w:szCs w:val="18"/>
                <w:lang w:bidi="ar"/>
              </w:rPr>
            </w:pPr>
            <w:r>
              <w:rPr>
                <w:rFonts w:hint="eastAsia"/>
                <w:sz w:val="18"/>
                <w:szCs w:val="18"/>
              </w:rPr>
              <w:t>满足得1分。</w:t>
            </w:r>
          </w:p>
        </w:tc>
        <w:tc>
          <w:tcPr>
            <w:tcW w:w="709" w:type="dxa"/>
          </w:tcPr>
          <w:p w14:paraId="70A28139">
            <w:pPr>
              <w:pStyle w:val="57"/>
              <w:ind w:firstLine="0" w:firstLineChars="0"/>
              <w:rPr>
                <w:lang w:bidi="ar"/>
              </w:rPr>
            </w:pPr>
          </w:p>
        </w:tc>
      </w:tr>
      <w:tr w14:paraId="6D6D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E0B040B">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10</w:t>
            </w:r>
          </w:p>
        </w:tc>
        <w:tc>
          <w:tcPr>
            <w:tcW w:w="6379" w:type="dxa"/>
            <w:vAlign w:val="center"/>
          </w:tcPr>
          <w:p w14:paraId="36D8E1C5">
            <w:pPr>
              <w:pStyle w:val="57"/>
              <w:spacing w:line="0" w:lineRule="atLeast"/>
              <w:ind w:firstLine="0" w:firstLineChars="0"/>
              <w:rPr>
                <w:sz w:val="18"/>
                <w:szCs w:val="18"/>
                <w:lang w:bidi="ar"/>
              </w:rPr>
            </w:pPr>
            <w:r>
              <w:rPr>
                <w:rFonts w:hint="eastAsia" w:hAnsi="宋体" w:cs="宋体"/>
                <w:sz w:val="18"/>
                <w:szCs w:val="18"/>
              </w:rPr>
              <w:t>应分设与游泳池容量相符的男、女更衣室、卫生间、淋浴室，并配有存放衣物的设施。淋浴室淋浴喷头数量及卫生间厕位数量应与游泳人员数量相适应。</w:t>
            </w:r>
          </w:p>
        </w:tc>
        <w:tc>
          <w:tcPr>
            <w:tcW w:w="708" w:type="dxa"/>
            <w:vAlign w:val="center"/>
          </w:tcPr>
          <w:p w14:paraId="524D5D26">
            <w:pPr>
              <w:pStyle w:val="57"/>
              <w:ind w:firstLine="0" w:firstLineChars="0"/>
              <w:jc w:val="center"/>
              <w:rPr>
                <w:lang w:bidi="ar"/>
              </w:rPr>
            </w:pPr>
            <w:r>
              <w:rPr>
                <w:rFonts w:hint="eastAsia"/>
                <w:lang w:bidi="ar"/>
              </w:rPr>
              <w:t>1</w:t>
            </w:r>
          </w:p>
        </w:tc>
        <w:tc>
          <w:tcPr>
            <w:tcW w:w="1701" w:type="dxa"/>
            <w:vAlign w:val="center"/>
          </w:tcPr>
          <w:p w14:paraId="7CD02630">
            <w:pPr>
              <w:pStyle w:val="57"/>
              <w:ind w:firstLine="0" w:firstLineChars="0"/>
              <w:jc w:val="left"/>
              <w:rPr>
                <w:sz w:val="18"/>
                <w:szCs w:val="18"/>
                <w:lang w:bidi="ar"/>
              </w:rPr>
            </w:pPr>
            <w:r>
              <w:rPr>
                <w:rFonts w:hint="eastAsia"/>
                <w:sz w:val="18"/>
                <w:szCs w:val="18"/>
              </w:rPr>
              <w:t>满足得1分。</w:t>
            </w:r>
          </w:p>
        </w:tc>
        <w:tc>
          <w:tcPr>
            <w:tcW w:w="709" w:type="dxa"/>
          </w:tcPr>
          <w:p w14:paraId="1B83C062">
            <w:pPr>
              <w:pStyle w:val="57"/>
              <w:ind w:firstLine="0" w:firstLineChars="0"/>
              <w:rPr>
                <w:lang w:bidi="ar"/>
              </w:rPr>
            </w:pPr>
          </w:p>
        </w:tc>
      </w:tr>
      <w:tr w14:paraId="6E84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DFD1599">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11</w:t>
            </w:r>
          </w:p>
        </w:tc>
        <w:tc>
          <w:tcPr>
            <w:tcW w:w="6379" w:type="dxa"/>
            <w:vAlign w:val="center"/>
          </w:tcPr>
          <w:p w14:paraId="2D98A597">
            <w:pPr>
              <w:pStyle w:val="57"/>
              <w:spacing w:line="0" w:lineRule="atLeast"/>
              <w:ind w:firstLine="0" w:firstLineChars="0"/>
              <w:rPr>
                <w:sz w:val="18"/>
                <w:szCs w:val="18"/>
                <w:lang w:bidi="ar"/>
              </w:rPr>
            </w:pPr>
            <w:r>
              <w:rPr>
                <w:rFonts w:hint="eastAsia" w:hAnsi="宋体" w:cs="宋体"/>
                <w:sz w:val="18"/>
                <w:szCs w:val="18"/>
              </w:rPr>
              <w:t>更衣室与游泳池之间应设置强制通过式浸脚消毒池，消毒池长度应不小于2m，宽度应与走道相同，有效水深应不小于0.15m。消毒池水的游离性余氯含量应保持在5mg/L～10 mg/L。游泳池水的游离性余氯含量应保持在0.5mg/L～1.0 mg/L。</w:t>
            </w:r>
          </w:p>
        </w:tc>
        <w:tc>
          <w:tcPr>
            <w:tcW w:w="708" w:type="dxa"/>
            <w:vAlign w:val="center"/>
          </w:tcPr>
          <w:p w14:paraId="6653C60C">
            <w:pPr>
              <w:pStyle w:val="57"/>
              <w:ind w:firstLine="0" w:firstLineChars="0"/>
              <w:jc w:val="center"/>
              <w:rPr>
                <w:lang w:bidi="ar"/>
              </w:rPr>
            </w:pPr>
            <w:r>
              <w:rPr>
                <w:rFonts w:hint="eastAsia"/>
                <w:lang w:bidi="ar"/>
              </w:rPr>
              <w:t>1</w:t>
            </w:r>
          </w:p>
        </w:tc>
        <w:tc>
          <w:tcPr>
            <w:tcW w:w="1701" w:type="dxa"/>
            <w:vAlign w:val="center"/>
          </w:tcPr>
          <w:p w14:paraId="1F264E8B">
            <w:pPr>
              <w:pStyle w:val="57"/>
              <w:ind w:firstLine="0" w:firstLineChars="0"/>
              <w:jc w:val="left"/>
              <w:rPr>
                <w:sz w:val="18"/>
                <w:szCs w:val="18"/>
                <w:lang w:bidi="ar"/>
              </w:rPr>
            </w:pPr>
            <w:r>
              <w:rPr>
                <w:rFonts w:hint="eastAsia"/>
                <w:sz w:val="18"/>
                <w:szCs w:val="18"/>
              </w:rPr>
              <w:t>满足得1分。</w:t>
            </w:r>
          </w:p>
        </w:tc>
        <w:tc>
          <w:tcPr>
            <w:tcW w:w="709" w:type="dxa"/>
          </w:tcPr>
          <w:p w14:paraId="1CBE6680">
            <w:pPr>
              <w:pStyle w:val="57"/>
              <w:ind w:firstLine="0" w:firstLineChars="0"/>
              <w:rPr>
                <w:lang w:bidi="ar"/>
              </w:rPr>
            </w:pPr>
          </w:p>
        </w:tc>
      </w:tr>
      <w:tr w14:paraId="0497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7E83DCF">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12</w:t>
            </w:r>
          </w:p>
        </w:tc>
        <w:tc>
          <w:tcPr>
            <w:tcW w:w="6379" w:type="dxa"/>
            <w:vAlign w:val="center"/>
          </w:tcPr>
          <w:p w14:paraId="5AB4373A">
            <w:pPr>
              <w:pStyle w:val="57"/>
              <w:spacing w:line="0" w:lineRule="atLeast"/>
              <w:ind w:firstLine="0" w:firstLineChars="0"/>
              <w:rPr>
                <w:sz w:val="18"/>
                <w:szCs w:val="18"/>
                <w:lang w:bidi="ar"/>
              </w:rPr>
            </w:pPr>
            <w:r>
              <w:rPr>
                <w:rFonts w:hint="eastAsia" w:hAnsi="宋体" w:cs="宋体"/>
                <w:sz w:val="18"/>
                <w:szCs w:val="18"/>
              </w:rPr>
              <w:t>游泳池池岸、卫生间、淋浴间及更衣室地面应做防滑处理，在湿润状态下地面静摩擦系数应不小于0.5。</w:t>
            </w:r>
          </w:p>
        </w:tc>
        <w:tc>
          <w:tcPr>
            <w:tcW w:w="708" w:type="dxa"/>
            <w:vAlign w:val="center"/>
          </w:tcPr>
          <w:p w14:paraId="7DC31473">
            <w:pPr>
              <w:pStyle w:val="57"/>
              <w:ind w:firstLine="0" w:firstLineChars="0"/>
              <w:jc w:val="center"/>
              <w:rPr>
                <w:lang w:bidi="ar"/>
              </w:rPr>
            </w:pPr>
            <w:r>
              <w:rPr>
                <w:rFonts w:hint="eastAsia"/>
                <w:lang w:bidi="ar"/>
              </w:rPr>
              <w:t>1</w:t>
            </w:r>
          </w:p>
        </w:tc>
        <w:tc>
          <w:tcPr>
            <w:tcW w:w="1701" w:type="dxa"/>
            <w:vAlign w:val="center"/>
          </w:tcPr>
          <w:p w14:paraId="39CDEC0E">
            <w:pPr>
              <w:pStyle w:val="57"/>
              <w:ind w:firstLine="0" w:firstLineChars="0"/>
              <w:jc w:val="left"/>
              <w:rPr>
                <w:sz w:val="18"/>
                <w:szCs w:val="18"/>
                <w:lang w:bidi="ar"/>
              </w:rPr>
            </w:pPr>
            <w:r>
              <w:rPr>
                <w:rFonts w:hint="eastAsia"/>
                <w:sz w:val="18"/>
                <w:szCs w:val="18"/>
              </w:rPr>
              <w:t>满足得1分。</w:t>
            </w:r>
          </w:p>
        </w:tc>
        <w:tc>
          <w:tcPr>
            <w:tcW w:w="709" w:type="dxa"/>
          </w:tcPr>
          <w:p w14:paraId="150EECEB">
            <w:pPr>
              <w:pStyle w:val="57"/>
              <w:ind w:firstLine="0" w:firstLineChars="0"/>
              <w:rPr>
                <w:lang w:bidi="ar"/>
              </w:rPr>
            </w:pPr>
          </w:p>
        </w:tc>
      </w:tr>
      <w:tr w14:paraId="0BB5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0D3D96D">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13</w:t>
            </w:r>
          </w:p>
        </w:tc>
        <w:tc>
          <w:tcPr>
            <w:tcW w:w="6379" w:type="dxa"/>
            <w:vAlign w:val="center"/>
          </w:tcPr>
          <w:p w14:paraId="270F4593">
            <w:pPr>
              <w:pStyle w:val="57"/>
              <w:spacing w:line="0" w:lineRule="atLeast"/>
              <w:ind w:firstLine="0" w:firstLineChars="0"/>
              <w:rPr>
                <w:sz w:val="18"/>
                <w:szCs w:val="18"/>
                <w:lang w:bidi="ar"/>
              </w:rPr>
            </w:pPr>
            <w:r>
              <w:rPr>
                <w:rFonts w:hint="eastAsia" w:hAnsi="宋体" w:cs="宋体"/>
                <w:sz w:val="18"/>
                <w:szCs w:val="18"/>
                <w:lang w:bidi="ar"/>
              </w:rPr>
              <w:t>应设置广播设施，并在醒目位置悬挂“入池须知”、“严禁跳水”、“严禁追跑打闹”、“严禁潜泳”、“小心地滑”、 “佩戴泳帽”等必要的安全警示。</w:t>
            </w:r>
          </w:p>
        </w:tc>
        <w:tc>
          <w:tcPr>
            <w:tcW w:w="708" w:type="dxa"/>
            <w:vAlign w:val="center"/>
          </w:tcPr>
          <w:p w14:paraId="6A77CB62">
            <w:pPr>
              <w:pStyle w:val="57"/>
              <w:ind w:firstLine="0" w:firstLineChars="0"/>
              <w:jc w:val="center"/>
              <w:rPr>
                <w:lang w:bidi="ar"/>
              </w:rPr>
            </w:pPr>
            <w:r>
              <w:rPr>
                <w:rFonts w:hint="eastAsia"/>
                <w:lang w:bidi="ar"/>
              </w:rPr>
              <w:t>1</w:t>
            </w:r>
          </w:p>
        </w:tc>
        <w:tc>
          <w:tcPr>
            <w:tcW w:w="1701" w:type="dxa"/>
            <w:vAlign w:val="center"/>
          </w:tcPr>
          <w:p w14:paraId="66AA33EC">
            <w:pPr>
              <w:pStyle w:val="57"/>
              <w:ind w:firstLine="0" w:firstLineChars="0"/>
              <w:jc w:val="left"/>
              <w:rPr>
                <w:sz w:val="18"/>
                <w:szCs w:val="18"/>
                <w:lang w:bidi="ar"/>
              </w:rPr>
            </w:pPr>
            <w:r>
              <w:rPr>
                <w:rFonts w:hint="eastAsia"/>
                <w:sz w:val="18"/>
                <w:szCs w:val="18"/>
              </w:rPr>
              <w:t>满足得1分。</w:t>
            </w:r>
          </w:p>
        </w:tc>
        <w:tc>
          <w:tcPr>
            <w:tcW w:w="709" w:type="dxa"/>
          </w:tcPr>
          <w:p w14:paraId="4A68DE65">
            <w:pPr>
              <w:pStyle w:val="57"/>
              <w:ind w:firstLine="0" w:firstLineChars="0"/>
              <w:rPr>
                <w:lang w:bidi="ar"/>
              </w:rPr>
            </w:pPr>
          </w:p>
        </w:tc>
      </w:tr>
      <w:tr w14:paraId="1477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03556F3">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14</w:t>
            </w:r>
          </w:p>
        </w:tc>
        <w:tc>
          <w:tcPr>
            <w:tcW w:w="6379" w:type="dxa"/>
            <w:vAlign w:val="center"/>
          </w:tcPr>
          <w:p w14:paraId="0681A345">
            <w:pPr>
              <w:pStyle w:val="57"/>
              <w:spacing w:line="0" w:lineRule="atLeast"/>
              <w:ind w:firstLine="0" w:firstLineChars="0"/>
              <w:rPr>
                <w:sz w:val="18"/>
                <w:szCs w:val="18"/>
                <w:lang w:bidi="ar"/>
              </w:rPr>
            </w:pPr>
            <w:r>
              <w:rPr>
                <w:rFonts w:hint="eastAsia" w:hAnsi="宋体" w:cs="宋体"/>
                <w:sz w:val="18"/>
                <w:szCs w:val="18"/>
                <w:lang w:bidi="ar"/>
              </w:rPr>
              <w:t>泳池水质情况应符合《公共场所卫生指标及限值要求》（GB 37488-2019）的相关规定，并在泳池醒目位置公示，提供水质检测证明材料。</w:t>
            </w:r>
          </w:p>
        </w:tc>
        <w:tc>
          <w:tcPr>
            <w:tcW w:w="708" w:type="dxa"/>
            <w:vAlign w:val="center"/>
          </w:tcPr>
          <w:p w14:paraId="0FC1EDC3">
            <w:pPr>
              <w:pStyle w:val="57"/>
              <w:ind w:firstLine="0" w:firstLineChars="0"/>
              <w:jc w:val="center"/>
              <w:rPr>
                <w:lang w:bidi="ar"/>
              </w:rPr>
            </w:pPr>
            <w:r>
              <w:rPr>
                <w:rFonts w:hint="eastAsia"/>
                <w:lang w:bidi="ar"/>
              </w:rPr>
              <w:t>1</w:t>
            </w:r>
          </w:p>
        </w:tc>
        <w:tc>
          <w:tcPr>
            <w:tcW w:w="1701" w:type="dxa"/>
            <w:vAlign w:val="center"/>
          </w:tcPr>
          <w:p w14:paraId="67AF6DB3">
            <w:pPr>
              <w:pStyle w:val="57"/>
              <w:ind w:firstLine="0" w:firstLineChars="0"/>
              <w:jc w:val="left"/>
              <w:rPr>
                <w:sz w:val="18"/>
                <w:szCs w:val="18"/>
                <w:lang w:bidi="ar"/>
              </w:rPr>
            </w:pPr>
            <w:r>
              <w:rPr>
                <w:rFonts w:hint="eastAsia" w:hAnsi="宋体" w:cs="宋体"/>
                <w:sz w:val="18"/>
                <w:szCs w:val="18"/>
              </w:rPr>
              <w:t>符合标准并提供证明材料得1分。</w:t>
            </w:r>
          </w:p>
        </w:tc>
        <w:tc>
          <w:tcPr>
            <w:tcW w:w="709" w:type="dxa"/>
          </w:tcPr>
          <w:p w14:paraId="4E237CE6">
            <w:pPr>
              <w:pStyle w:val="57"/>
              <w:ind w:firstLine="0" w:firstLineChars="0"/>
              <w:rPr>
                <w:lang w:bidi="ar"/>
              </w:rPr>
            </w:pPr>
          </w:p>
        </w:tc>
      </w:tr>
      <w:tr w14:paraId="0DE8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9BEEEA8">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15</w:t>
            </w:r>
          </w:p>
        </w:tc>
        <w:tc>
          <w:tcPr>
            <w:tcW w:w="6379" w:type="dxa"/>
            <w:vAlign w:val="center"/>
          </w:tcPr>
          <w:p w14:paraId="0DBF5BC4">
            <w:pPr>
              <w:pStyle w:val="57"/>
              <w:spacing w:line="0" w:lineRule="atLeast"/>
              <w:ind w:firstLine="0" w:firstLineChars="0"/>
              <w:rPr>
                <w:sz w:val="18"/>
                <w:szCs w:val="18"/>
                <w:lang w:bidi="ar"/>
              </w:rPr>
            </w:pPr>
            <w:r>
              <w:rPr>
                <w:rFonts w:hint="eastAsia" w:hAnsi="宋体" w:cs="宋体"/>
                <w:sz w:val="18"/>
                <w:szCs w:val="18"/>
                <w:lang w:bidi="ar"/>
              </w:rPr>
              <w:t>游泳池的水温应不低于26℃（室内恒温游泳馆水温宜在23℃～30℃之间，且室内气温应保持在池水温度的±（1-2）℃）。</w:t>
            </w:r>
          </w:p>
        </w:tc>
        <w:tc>
          <w:tcPr>
            <w:tcW w:w="708" w:type="dxa"/>
            <w:vAlign w:val="center"/>
          </w:tcPr>
          <w:p w14:paraId="65C7DFD8">
            <w:pPr>
              <w:pStyle w:val="57"/>
              <w:ind w:firstLine="0" w:firstLineChars="0"/>
              <w:jc w:val="center"/>
              <w:rPr>
                <w:lang w:bidi="ar"/>
              </w:rPr>
            </w:pPr>
            <w:r>
              <w:rPr>
                <w:rFonts w:hint="eastAsia"/>
                <w:lang w:bidi="ar"/>
              </w:rPr>
              <w:t>1</w:t>
            </w:r>
          </w:p>
        </w:tc>
        <w:tc>
          <w:tcPr>
            <w:tcW w:w="1701" w:type="dxa"/>
            <w:vAlign w:val="center"/>
          </w:tcPr>
          <w:p w14:paraId="36235DA8">
            <w:pPr>
              <w:pStyle w:val="57"/>
              <w:ind w:firstLine="0" w:firstLineChars="0"/>
              <w:jc w:val="left"/>
              <w:rPr>
                <w:sz w:val="18"/>
                <w:szCs w:val="18"/>
                <w:lang w:bidi="ar"/>
              </w:rPr>
            </w:pPr>
            <w:r>
              <w:rPr>
                <w:rFonts w:hint="eastAsia"/>
                <w:sz w:val="18"/>
                <w:szCs w:val="18"/>
              </w:rPr>
              <w:t>满足得1分。</w:t>
            </w:r>
          </w:p>
        </w:tc>
        <w:tc>
          <w:tcPr>
            <w:tcW w:w="709" w:type="dxa"/>
          </w:tcPr>
          <w:p w14:paraId="72ADEF2C">
            <w:pPr>
              <w:pStyle w:val="57"/>
              <w:ind w:firstLine="0" w:firstLineChars="0"/>
              <w:rPr>
                <w:lang w:bidi="ar"/>
              </w:rPr>
            </w:pPr>
          </w:p>
        </w:tc>
      </w:tr>
      <w:tr w14:paraId="2EE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8A40FFE">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16</w:t>
            </w:r>
          </w:p>
        </w:tc>
        <w:tc>
          <w:tcPr>
            <w:tcW w:w="6379" w:type="dxa"/>
          </w:tcPr>
          <w:p w14:paraId="591AE982">
            <w:pPr>
              <w:pStyle w:val="57"/>
              <w:ind w:firstLine="0" w:firstLineChars="0"/>
              <w:rPr>
                <w:sz w:val="18"/>
                <w:szCs w:val="18"/>
                <w:lang w:bidi="ar"/>
              </w:rPr>
            </w:pPr>
            <w:r>
              <w:rPr>
                <w:rFonts w:hint="eastAsia"/>
                <w:sz w:val="18"/>
                <w:szCs w:val="18"/>
                <w:lang w:bidi="ar"/>
              </w:rPr>
              <w:t>集中空调通风系统应符合《公共场所集中空调通风系统卫生规范》（WS 10013-2023）的要求。集中空调通风系统的新风量≥20m2/（h·人）。集中空调通风系统的设计温度宜使公共浴室的更衣室、休息室冬季室内温度达到25℃，其他公共场所宜在16℃～20℃之间；公共场所夏季室内温度在26℃～28℃之间。集中空调通风系统的设计湿度宜使游泳场（馆）、公共浴室相对湿度不大于80%，其他公共场所相对湿度宜在40%～65%之间。</w:t>
            </w:r>
          </w:p>
        </w:tc>
        <w:tc>
          <w:tcPr>
            <w:tcW w:w="708" w:type="dxa"/>
            <w:vAlign w:val="center"/>
          </w:tcPr>
          <w:p w14:paraId="36A50538">
            <w:pPr>
              <w:pStyle w:val="57"/>
              <w:ind w:firstLine="0" w:firstLineChars="0"/>
              <w:jc w:val="center"/>
              <w:rPr>
                <w:lang w:bidi="ar"/>
              </w:rPr>
            </w:pPr>
            <w:r>
              <w:rPr>
                <w:rFonts w:hint="eastAsia"/>
                <w:lang w:bidi="ar"/>
              </w:rPr>
              <w:t>1</w:t>
            </w:r>
          </w:p>
        </w:tc>
        <w:tc>
          <w:tcPr>
            <w:tcW w:w="1701" w:type="dxa"/>
            <w:vAlign w:val="center"/>
          </w:tcPr>
          <w:p w14:paraId="1664EA3E">
            <w:pPr>
              <w:pStyle w:val="57"/>
              <w:ind w:firstLine="0" w:firstLineChars="0"/>
              <w:rPr>
                <w:lang w:bidi="ar"/>
              </w:rPr>
            </w:pPr>
            <w:r>
              <w:rPr>
                <w:rFonts w:hint="eastAsia"/>
                <w:sz w:val="18"/>
                <w:szCs w:val="18"/>
              </w:rPr>
              <w:t>满足得1分。</w:t>
            </w:r>
          </w:p>
        </w:tc>
        <w:tc>
          <w:tcPr>
            <w:tcW w:w="709" w:type="dxa"/>
          </w:tcPr>
          <w:p w14:paraId="4ED60B23">
            <w:pPr>
              <w:pStyle w:val="57"/>
              <w:ind w:firstLine="0" w:firstLineChars="0"/>
              <w:rPr>
                <w:lang w:bidi="ar"/>
              </w:rPr>
            </w:pPr>
          </w:p>
        </w:tc>
      </w:tr>
      <w:tr w14:paraId="0ABF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10" w:type="dxa"/>
            <w:vAlign w:val="center"/>
          </w:tcPr>
          <w:p w14:paraId="57594C62">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17</w:t>
            </w:r>
          </w:p>
        </w:tc>
        <w:tc>
          <w:tcPr>
            <w:tcW w:w="6379" w:type="dxa"/>
            <w:vAlign w:val="center"/>
          </w:tcPr>
          <w:p w14:paraId="045A8908">
            <w:pPr>
              <w:pStyle w:val="57"/>
              <w:ind w:firstLine="0" w:firstLineChars="0"/>
              <w:rPr>
                <w:sz w:val="18"/>
                <w:szCs w:val="18"/>
                <w:lang w:bidi="ar"/>
              </w:rPr>
            </w:pPr>
            <w:r>
              <w:rPr>
                <w:rFonts w:hint="eastAsia" w:hAnsi="宋体" w:cs="宋体"/>
                <w:sz w:val="18"/>
                <w:szCs w:val="18"/>
                <w:lang w:bidi="ar"/>
              </w:rPr>
              <w:t>对外交通便捷，有自主或公共停车场。</w:t>
            </w:r>
          </w:p>
        </w:tc>
        <w:tc>
          <w:tcPr>
            <w:tcW w:w="708" w:type="dxa"/>
            <w:vAlign w:val="center"/>
          </w:tcPr>
          <w:p w14:paraId="20BBD580">
            <w:pPr>
              <w:pStyle w:val="57"/>
              <w:ind w:firstLine="0" w:firstLineChars="0"/>
              <w:jc w:val="center"/>
              <w:rPr>
                <w:lang w:bidi="ar"/>
              </w:rPr>
            </w:pPr>
            <w:r>
              <w:rPr>
                <w:rFonts w:hint="eastAsia"/>
                <w:lang w:bidi="ar"/>
              </w:rPr>
              <w:t>1</w:t>
            </w:r>
          </w:p>
        </w:tc>
        <w:tc>
          <w:tcPr>
            <w:tcW w:w="1701" w:type="dxa"/>
            <w:vAlign w:val="center"/>
          </w:tcPr>
          <w:p w14:paraId="4C68F6F3">
            <w:pPr>
              <w:pStyle w:val="57"/>
              <w:ind w:firstLine="0" w:firstLineChars="0"/>
              <w:rPr>
                <w:lang w:bidi="ar"/>
              </w:rPr>
            </w:pPr>
            <w:r>
              <w:rPr>
                <w:rFonts w:hint="eastAsia"/>
                <w:sz w:val="18"/>
                <w:szCs w:val="18"/>
              </w:rPr>
              <w:t>满足得1分。</w:t>
            </w:r>
          </w:p>
        </w:tc>
        <w:tc>
          <w:tcPr>
            <w:tcW w:w="709" w:type="dxa"/>
          </w:tcPr>
          <w:p w14:paraId="1C469979">
            <w:pPr>
              <w:pStyle w:val="57"/>
              <w:ind w:firstLine="0" w:firstLineChars="0"/>
              <w:rPr>
                <w:lang w:bidi="ar"/>
              </w:rPr>
            </w:pPr>
          </w:p>
        </w:tc>
      </w:tr>
      <w:tr w14:paraId="606C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10" w:type="dxa"/>
            <w:vAlign w:val="center"/>
          </w:tcPr>
          <w:p w14:paraId="45EB3A2D">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18</w:t>
            </w:r>
          </w:p>
        </w:tc>
        <w:tc>
          <w:tcPr>
            <w:tcW w:w="6379" w:type="dxa"/>
            <w:vAlign w:val="center"/>
          </w:tcPr>
          <w:p w14:paraId="61C9089E">
            <w:pPr>
              <w:pStyle w:val="57"/>
              <w:ind w:firstLine="0" w:firstLineChars="0"/>
              <w:rPr>
                <w:sz w:val="18"/>
                <w:szCs w:val="18"/>
                <w:lang w:bidi="ar"/>
              </w:rPr>
            </w:pPr>
            <w:r>
              <w:rPr>
                <w:rFonts w:hint="eastAsia" w:hAnsi="宋体" w:cs="宋体"/>
                <w:sz w:val="18"/>
                <w:szCs w:val="18"/>
                <w:lang w:bidi="ar"/>
              </w:rPr>
              <w:t>距离地铁或公交车站不超过1000米。</w:t>
            </w:r>
          </w:p>
        </w:tc>
        <w:tc>
          <w:tcPr>
            <w:tcW w:w="708" w:type="dxa"/>
            <w:vAlign w:val="center"/>
          </w:tcPr>
          <w:p w14:paraId="0EC5D6BE">
            <w:pPr>
              <w:pStyle w:val="57"/>
              <w:ind w:firstLine="0" w:firstLineChars="0"/>
              <w:jc w:val="center"/>
              <w:rPr>
                <w:lang w:bidi="ar"/>
              </w:rPr>
            </w:pPr>
            <w:r>
              <w:rPr>
                <w:rFonts w:hint="eastAsia"/>
                <w:lang w:bidi="ar"/>
              </w:rPr>
              <w:t>1</w:t>
            </w:r>
          </w:p>
        </w:tc>
        <w:tc>
          <w:tcPr>
            <w:tcW w:w="1701" w:type="dxa"/>
            <w:vAlign w:val="center"/>
          </w:tcPr>
          <w:p w14:paraId="2D8A29B7">
            <w:pPr>
              <w:pStyle w:val="57"/>
              <w:ind w:firstLine="0" w:firstLineChars="0"/>
              <w:rPr>
                <w:lang w:bidi="ar"/>
              </w:rPr>
            </w:pPr>
            <w:r>
              <w:rPr>
                <w:rFonts w:hint="eastAsia"/>
                <w:sz w:val="18"/>
                <w:szCs w:val="18"/>
              </w:rPr>
              <w:t>满足得1分。</w:t>
            </w:r>
          </w:p>
        </w:tc>
        <w:tc>
          <w:tcPr>
            <w:tcW w:w="709" w:type="dxa"/>
          </w:tcPr>
          <w:p w14:paraId="25BB1A31">
            <w:pPr>
              <w:pStyle w:val="57"/>
              <w:ind w:firstLine="0" w:firstLineChars="0"/>
              <w:rPr>
                <w:lang w:bidi="ar"/>
              </w:rPr>
            </w:pPr>
          </w:p>
        </w:tc>
      </w:tr>
      <w:tr w14:paraId="5C5A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89" w:type="dxa"/>
            <w:gridSpan w:val="2"/>
          </w:tcPr>
          <w:p w14:paraId="09D0E00E">
            <w:pPr>
              <w:pStyle w:val="57"/>
              <w:ind w:firstLine="0" w:firstLineChars="0"/>
              <w:jc w:val="center"/>
              <w:rPr>
                <w:rFonts w:ascii="黑体" w:hAnsi="黑体" w:eastAsia="黑体"/>
                <w:sz w:val="18"/>
                <w:szCs w:val="18"/>
                <w:lang w:bidi="ar"/>
              </w:rPr>
            </w:pPr>
            <w:r>
              <w:rPr>
                <w:rFonts w:hint="eastAsia" w:ascii="黑体" w:hAnsi="黑体" w:eastAsia="黑体" w:cs="宋体"/>
                <w:sz w:val="18"/>
                <w:szCs w:val="18"/>
              </w:rPr>
              <w:t>指标总分</w:t>
            </w:r>
          </w:p>
        </w:tc>
        <w:tc>
          <w:tcPr>
            <w:tcW w:w="708" w:type="dxa"/>
          </w:tcPr>
          <w:p w14:paraId="7D291866">
            <w:pPr>
              <w:pStyle w:val="57"/>
              <w:ind w:firstLine="0" w:firstLineChars="0"/>
              <w:jc w:val="center"/>
              <w:rPr>
                <w:sz w:val="18"/>
                <w:szCs w:val="18"/>
                <w:lang w:bidi="ar"/>
              </w:rPr>
            </w:pPr>
            <w:r>
              <w:rPr>
                <w:rFonts w:hint="eastAsia"/>
                <w:sz w:val="18"/>
                <w:szCs w:val="18"/>
                <w:lang w:bidi="ar"/>
              </w:rPr>
              <w:t>20</w:t>
            </w:r>
          </w:p>
        </w:tc>
        <w:tc>
          <w:tcPr>
            <w:tcW w:w="1701" w:type="dxa"/>
          </w:tcPr>
          <w:p w14:paraId="0875DAD1">
            <w:pPr>
              <w:pStyle w:val="57"/>
              <w:ind w:firstLine="0" w:firstLineChars="0"/>
              <w:jc w:val="center"/>
              <w:rPr>
                <w:sz w:val="18"/>
                <w:szCs w:val="18"/>
                <w:lang w:bidi="ar"/>
              </w:rPr>
            </w:pPr>
            <w:r>
              <w:rPr>
                <w:rFonts w:hint="eastAsia" w:hAnsi="宋体" w:cs="宋体"/>
                <w:sz w:val="18"/>
                <w:szCs w:val="18"/>
                <w:lang w:bidi="ar"/>
              </w:rPr>
              <w:t>评定总分</w:t>
            </w:r>
          </w:p>
        </w:tc>
        <w:tc>
          <w:tcPr>
            <w:tcW w:w="709" w:type="dxa"/>
          </w:tcPr>
          <w:p w14:paraId="26C367FD">
            <w:pPr>
              <w:pStyle w:val="57"/>
              <w:ind w:firstLine="0" w:firstLineChars="0"/>
              <w:rPr>
                <w:lang w:bidi="ar"/>
              </w:rPr>
            </w:pPr>
          </w:p>
        </w:tc>
      </w:tr>
    </w:tbl>
    <w:p w14:paraId="29CDA04A">
      <w:pPr>
        <w:rPr>
          <w:rFonts w:hint="eastAsia" w:ascii="宋体" w:eastAsia="宋体"/>
          <w:b/>
          <w:bCs/>
          <w:kern w:val="0"/>
          <w:highlight w:val="none"/>
        </w:rPr>
      </w:pPr>
      <w:r>
        <w:rPr>
          <w:rFonts w:hint="eastAsia" w:ascii="宋体" w:eastAsia="宋体"/>
          <w:b/>
          <w:bCs/>
          <w:kern w:val="0"/>
          <w:highlight w:val="none"/>
        </w:rPr>
        <w:br w:type="page"/>
      </w:r>
    </w:p>
    <w:p w14:paraId="05666B2A">
      <w:pPr>
        <w:pStyle w:val="78"/>
        <w:numPr>
          <w:ilvl w:val="1"/>
          <w:numId w:val="0"/>
        </w:numPr>
        <w:spacing w:before="120" w:after="120"/>
        <w:jc w:val="center"/>
        <w:rPr>
          <w:highlight w:val="none"/>
          <w:lang w:bidi="ar"/>
        </w:rPr>
      </w:pPr>
      <w:r>
        <w:rPr>
          <w:rFonts w:hint="eastAsia" w:ascii="宋体" w:eastAsia="宋体"/>
          <w:b/>
          <w:bCs/>
          <w:kern w:val="0"/>
          <w:highlight w:val="none"/>
        </w:rPr>
        <w:t>表B.2游泳池（馆）运营管理服务服务质量的运营管理评分表</w:t>
      </w:r>
    </w:p>
    <w:tbl>
      <w:tblPr>
        <w:tblStyle w:val="28"/>
        <w:tblW w:w="10530" w:type="dxa"/>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6098"/>
        <w:gridCol w:w="592"/>
        <w:gridCol w:w="2520"/>
        <w:gridCol w:w="660"/>
      </w:tblGrid>
      <w:tr w14:paraId="3405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60" w:type="dxa"/>
            <w:vAlign w:val="center"/>
          </w:tcPr>
          <w:p w14:paraId="75223A81">
            <w:pPr>
              <w:pStyle w:val="57"/>
              <w:ind w:firstLine="0" w:firstLineChars="0"/>
              <w:jc w:val="center"/>
              <w:rPr>
                <w:sz w:val="18"/>
                <w:szCs w:val="18"/>
                <w:lang w:bidi="ar"/>
              </w:rPr>
            </w:pPr>
            <w:r>
              <w:rPr>
                <w:rFonts w:hint="eastAsia"/>
                <w:sz w:val="18"/>
                <w:szCs w:val="18"/>
                <w:lang w:bidi="ar"/>
              </w:rPr>
              <w:t>序号</w:t>
            </w:r>
          </w:p>
        </w:tc>
        <w:tc>
          <w:tcPr>
            <w:tcW w:w="6098" w:type="dxa"/>
            <w:vAlign w:val="center"/>
          </w:tcPr>
          <w:p w14:paraId="77642391">
            <w:pPr>
              <w:pStyle w:val="57"/>
              <w:ind w:firstLine="0" w:firstLineChars="0"/>
              <w:jc w:val="center"/>
              <w:rPr>
                <w:sz w:val="18"/>
                <w:szCs w:val="18"/>
                <w:lang w:bidi="ar"/>
              </w:rPr>
            </w:pPr>
            <w:r>
              <w:rPr>
                <w:rFonts w:hint="eastAsia" w:hAnsi="宋体" w:cs="宋体"/>
                <w:sz w:val="18"/>
                <w:szCs w:val="18"/>
                <w:lang w:bidi="ar"/>
              </w:rPr>
              <w:t>指标</w:t>
            </w:r>
          </w:p>
        </w:tc>
        <w:tc>
          <w:tcPr>
            <w:tcW w:w="592" w:type="dxa"/>
            <w:vAlign w:val="center"/>
          </w:tcPr>
          <w:p w14:paraId="789708A2">
            <w:pPr>
              <w:pStyle w:val="57"/>
              <w:ind w:firstLine="0" w:firstLineChars="0"/>
              <w:jc w:val="center"/>
              <w:rPr>
                <w:sz w:val="18"/>
                <w:szCs w:val="18"/>
                <w:lang w:bidi="ar"/>
              </w:rPr>
            </w:pPr>
            <w:r>
              <w:rPr>
                <w:rFonts w:hint="eastAsia" w:hAnsi="宋体" w:cs="宋体"/>
                <w:sz w:val="18"/>
                <w:szCs w:val="18"/>
              </w:rPr>
              <w:t>指标分值</w:t>
            </w:r>
          </w:p>
        </w:tc>
        <w:tc>
          <w:tcPr>
            <w:tcW w:w="2520" w:type="dxa"/>
            <w:vAlign w:val="center"/>
          </w:tcPr>
          <w:p w14:paraId="44CB1E67">
            <w:pPr>
              <w:pStyle w:val="57"/>
              <w:ind w:firstLine="0" w:firstLineChars="0"/>
              <w:jc w:val="center"/>
              <w:rPr>
                <w:sz w:val="18"/>
                <w:szCs w:val="18"/>
                <w:lang w:bidi="ar"/>
              </w:rPr>
            </w:pPr>
            <w:r>
              <w:rPr>
                <w:rFonts w:hint="eastAsia" w:hAnsi="宋体" w:cs="宋体"/>
                <w:sz w:val="18"/>
                <w:szCs w:val="18"/>
                <w:lang w:bidi="ar"/>
              </w:rPr>
              <w:t>评定办法</w:t>
            </w:r>
          </w:p>
        </w:tc>
        <w:tc>
          <w:tcPr>
            <w:tcW w:w="660" w:type="dxa"/>
            <w:vAlign w:val="center"/>
          </w:tcPr>
          <w:p w14:paraId="39521E6E">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评定</w:t>
            </w:r>
          </w:p>
          <w:p w14:paraId="29285DD1">
            <w:pPr>
              <w:pStyle w:val="57"/>
              <w:ind w:firstLine="0" w:firstLineChars="0"/>
              <w:jc w:val="center"/>
              <w:rPr>
                <w:sz w:val="18"/>
                <w:szCs w:val="18"/>
                <w:lang w:bidi="ar"/>
              </w:rPr>
            </w:pPr>
            <w:r>
              <w:rPr>
                <w:rFonts w:hint="eastAsia" w:hAnsi="宋体" w:cs="宋体"/>
                <w:sz w:val="18"/>
                <w:szCs w:val="18"/>
                <w:lang w:bidi="ar"/>
              </w:rPr>
              <w:t>得分</w:t>
            </w:r>
          </w:p>
        </w:tc>
      </w:tr>
      <w:tr w14:paraId="11AC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24AF954">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w:t>
            </w:r>
          </w:p>
        </w:tc>
        <w:tc>
          <w:tcPr>
            <w:tcW w:w="6098" w:type="dxa"/>
            <w:vAlign w:val="center"/>
          </w:tcPr>
          <w:p w14:paraId="107B73E8">
            <w:pPr>
              <w:pStyle w:val="57"/>
              <w:spacing w:line="0" w:lineRule="atLeast"/>
              <w:ind w:firstLine="0" w:firstLineChars="0"/>
              <w:rPr>
                <w:sz w:val="18"/>
                <w:szCs w:val="18"/>
                <w:lang w:bidi="ar"/>
              </w:rPr>
            </w:pPr>
            <w:r>
              <w:rPr>
                <w:rFonts w:hint="eastAsia"/>
                <w:sz w:val="18"/>
                <w:szCs w:val="18"/>
              </w:rPr>
              <w:t>结合运营需要，设置专用办公区域，配备专业运营团队，合理设置内设部门和岗位。</w:t>
            </w:r>
          </w:p>
        </w:tc>
        <w:tc>
          <w:tcPr>
            <w:tcW w:w="592" w:type="dxa"/>
            <w:vAlign w:val="center"/>
          </w:tcPr>
          <w:p w14:paraId="789A3BF9">
            <w:pPr>
              <w:pStyle w:val="57"/>
              <w:ind w:firstLine="0" w:firstLineChars="0"/>
              <w:jc w:val="center"/>
              <w:rPr>
                <w:lang w:bidi="ar"/>
              </w:rPr>
            </w:pPr>
            <w:r>
              <w:rPr>
                <w:rFonts w:hint="eastAsia" w:hAnsi="宋体" w:cs="宋体"/>
                <w:sz w:val="20"/>
              </w:rPr>
              <w:t>2</w:t>
            </w:r>
          </w:p>
        </w:tc>
        <w:tc>
          <w:tcPr>
            <w:tcW w:w="2520" w:type="dxa"/>
            <w:vAlign w:val="center"/>
          </w:tcPr>
          <w:p w14:paraId="36EC9C1D">
            <w:pPr>
              <w:pStyle w:val="57"/>
              <w:ind w:firstLine="0" w:firstLineChars="0"/>
              <w:jc w:val="left"/>
              <w:rPr>
                <w:sz w:val="18"/>
                <w:szCs w:val="18"/>
                <w:lang w:bidi="ar"/>
              </w:rPr>
            </w:pPr>
            <w:r>
              <w:rPr>
                <w:rFonts w:hint="eastAsia"/>
                <w:sz w:val="18"/>
                <w:szCs w:val="18"/>
                <w:lang w:bidi="ar"/>
              </w:rPr>
              <w:t>满足得2分。</w:t>
            </w:r>
          </w:p>
        </w:tc>
        <w:tc>
          <w:tcPr>
            <w:tcW w:w="660" w:type="dxa"/>
          </w:tcPr>
          <w:p w14:paraId="0EB1925A">
            <w:pPr>
              <w:pStyle w:val="57"/>
              <w:ind w:firstLine="0" w:firstLineChars="0"/>
              <w:rPr>
                <w:sz w:val="18"/>
                <w:szCs w:val="18"/>
                <w:lang w:bidi="ar"/>
              </w:rPr>
            </w:pPr>
          </w:p>
        </w:tc>
      </w:tr>
      <w:tr w14:paraId="0D1E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8DF46FB">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w:t>
            </w:r>
          </w:p>
        </w:tc>
        <w:tc>
          <w:tcPr>
            <w:tcW w:w="6098" w:type="dxa"/>
            <w:vAlign w:val="center"/>
          </w:tcPr>
          <w:p w14:paraId="57C76ED1">
            <w:pPr>
              <w:pStyle w:val="57"/>
              <w:spacing w:line="0" w:lineRule="atLeast"/>
              <w:ind w:firstLine="0" w:firstLineChars="0"/>
              <w:rPr>
                <w:sz w:val="18"/>
                <w:szCs w:val="18"/>
                <w:lang w:bidi="ar"/>
              </w:rPr>
            </w:pPr>
            <w:r>
              <w:rPr>
                <w:rFonts w:hint="eastAsia"/>
                <w:sz w:val="18"/>
                <w:szCs w:val="18"/>
              </w:rPr>
              <w:t>完善运行管理体系，制定健全各部门人员岗位职责与工作制度，建立激励约束和绩效考核机制。</w:t>
            </w:r>
          </w:p>
        </w:tc>
        <w:tc>
          <w:tcPr>
            <w:tcW w:w="592" w:type="dxa"/>
            <w:vAlign w:val="center"/>
          </w:tcPr>
          <w:p w14:paraId="79132849">
            <w:pPr>
              <w:pStyle w:val="57"/>
              <w:ind w:firstLine="0" w:firstLineChars="0"/>
              <w:jc w:val="center"/>
              <w:rPr>
                <w:lang w:bidi="ar"/>
              </w:rPr>
            </w:pPr>
            <w:r>
              <w:rPr>
                <w:rFonts w:hint="eastAsia" w:hAnsi="宋体" w:cs="宋体"/>
                <w:sz w:val="20"/>
              </w:rPr>
              <w:t>2</w:t>
            </w:r>
          </w:p>
        </w:tc>
        <w:tc>
          <w:tcPr>
            <w:tcW w:w="2520" w:type="dxa"/>
            <w:vAlign w:val="center"/>
          </w:tcPr>
          <w:p w14:paraId="0561757C">
            <w:pPr>
              <w:pStyle w:val="57"/>
              <w:ind w:firstLine="0" w:firstLineChars="0"/>
              <w:jc w:val="left"/>
              <w:rPr>
                <w:sz w:val="18"/>
                <w:szCs w:val="18"/>
                <w:lang w:bidi="ar"/>
              </w:rPr>
            </w:pPr>
            <w:r>
              <w:rPr>
                <w:rFonts w:hint="eastAsia"/>
                <w:sz w:val="18"/>
                <w:szCs w:val="18"/>
                <w:lang w:bidi="ar"/>
              </w:rPr>
              <w:t>满足得2分。</w:t>
            </w:r>
          </w:p>
        </w:tc>
        <w:tc>
          <w:tcPr>
            <w:tcW w:w="660" w:type="dxa"/>
          </w:tcPr>
          <w:p w14:paraId="6364E593">
            <w:pPr>
              <w:pStyle w:val="57"/>
              <w:ind w:firstLine="0" w:firstLineChars="0"/>
              <w:rPr>
                <w:sz w:val="18"/>
                <w:szCs w:val="18"/>
                <w:lang w:bidi="ar"/>
              </w:rPr>
            </w:pPr>
          </w:p>
        </w:tc>
      </w:tr>
      <w:tr w14:paraId="04E0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1355DC75">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3</w:t>
            </w:r>
          </w:p>
        </w:tc>
        <w:tc>
          <w:tcPr>
            <w:tcW w:w="6098" w:type="dxa"/>
            <w:vAlign w:val="center"/>
          </w:tcPr>
          <w:p w14:paraId="78EFAC7F">
            <w:pPr>
              <w:pStyle w:val="57"/>
              <w:spacing w:line="0" w:lineRule="atLeast"/>
              <w:ind w:firstLine="0" w:firstLineChars="0"/>
              <w:rPr>
                <w:sz w:val="18"/>
                <w:szCs w:val="18"/>
                <w:lang w:bidi="ar"/>
              </w:rPr>
            </w:pPr>
            <w:r>
              <w:rPr>
                <w:rFonts w:hint="eastAsia"/>
                <w:sz w:val="18"/>
                <w:szCs w:val="18"/>
              </w:rPr>
              <w:t>建立常态化培训机制，上岗人员培训合格率达100%。</w:t>
            </w:r>
          </w:p>
        </w:tc>
        <w:tc>
          <w:tcPr>
            <w:tcW w:w="592" w:type="dxa"/>
            <w:vAlign w:val="center"/>
          </w:tcPr>
          <w:p w14:paraId="398E9CD0">
            <w:pPr>
              <w:pStyle w:val="57"/>
              <w:ind w:firstLine="0" w:firstLineChars="0"/>
              <w:jc w:val="center"/>
              <w:rPr>
                <w:lang w:bidi="ar"/>
              </w:rPr>
            </w:pPr>
            <w:r>
              <w:rPr>
                <w:rFonts w:hint="eastAsia" w:hAnsi="宋体" w:cs="宋体"/>
                <w:sz w:val="20"/>
                <w:lang w:bidi="ar"/>
              </w:rPr>
              <w:t>2</w:t>
            </w:r>
          </w:p>
        </w:tc>
        <w:tc>
          <w:tcPr>
            <w:tcW w:w="2520" w:type="dxa"/>
            <w:vAlign w:val="center"/>
          </w:tcPr>
          <w:p w14:paraId="43E0BFE9">
            <w:pPr>
              <w:pStyle w:val="57"/>
              <w:ind w:firstLine="0" w:firstLineChars="0"/>
              <w:jc w:val="left"/>
              <w:rPr>
                <w:sz w:val="18"/>
                <w:szCs w:val="18"/>
                <w:lang w:bidi="ar"/>
              </w:rPr>
            </w:pPr>
            <w:r>
              <w:rPr>
                <w:rFonts w:hint="eastAsia"/>
                <w:sz w:val="18"/>
                <w:szCs w:val="18"/>
                <w:lang w:bidi="ar"/>
              </w:rPr>
              <w:t>满足并提供相关材料得2分。</w:t>
            </w:r>
          </w:p>
        </w:tc>
        <w:tc>
          <w:tcPr>
            <w:tcW w:w="660" w:type="dxa"/>
          </w:tcPr>
          <w:p w14:paraId="4EBBEABE">
            <w:pPr>
              <w:pStyle w:val="57"/>
              <w:ind w:firstLine="0" w:firstLineChars="0"/>
              <w:rPr>
                <w:sz w:val="18"/>
                <w:szCs w:val="18"/>
                <w:lang w:bidi="ar"/>
              </w:rPr>
            </w:pPr>
          </w:p>
        </w:tc>
      </w:tr>
      <w:tr w14:paraId="65B6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5DE357B">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4</w:t>
            </w:r>
          </w:p>
        </w:tc>
        <w:tc>
          <w:tcPr>
            <w:tcW w:w="6098" w:type="dxa"/>
            <w:shd w:val="clear" w:color="auto" w:fill="auto"/>
            <w:vAlign w:val="center"/>
          </w:tcPr>
          <w:p w14:paraId="50AFF2D0">
            <w:pPr>
              <w:widowControl/>
              <w:spacing w:line="240" w:lineRule="exact"/>
              <w:textAlignment w:val="center"/>
              <w:rPr>
                <w:rFonts w:ascii="宋体" w:hAnsi="宋体" w:cs="宋体"/>
                <w:sz w:val="18"/>
                <w:szCs w:val="18"/>
              </w:rPr>
            </w:pPr>
            <w:r>
              <w:rPr>
                <w:rFonts w:hint="eastAsia" w:ascii="宋体" w:hAnsi="宋体" w:cs="宋体"/>
                <w:sz w:val="18"/>
                <w:szCs w:val="18"/>
              </w:rPr>
              <w:t>建立党团工会组织，具有党员。</w:t>
            </w:r>
          </w:p>
        </w:tc>
        <w:tc>
          <w:tcPr>
            <w:tcW w:w="592" w:type="dxa"/>
            <w:shd w:val="clear" w:color="auto" w:fill="auto"/>
            <w:vAlign w:val="center"/>
          </w:tcPr>
          <w:p w14:paraId="51754D91">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520" w:type="dxa"/>
            <w:shd w:val="clear" w:color="auto" w:fill="auto"/>
            <w:vAlign w:val="center"/>
          </w:tcPr>
          <w:p w14:paraId="3F15BFCE">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建有党团组织0.5分，建有工会组织0.2分，每具有1名党员0.1分，（最高0.3），最高得1分。</w:t>
            </w:r>
          </w:p>
        </w:tc>
        <w:tc>
          <w:tcPr>
            <w:tcW w:w="660" w:type="dxa"/>
            <w:shd w:val="clear" w:color="auto" w:fill="auto"/>
          </w:tcPr>
          <w:p w14:paraId="3F9F5ED9">
            <w:pPr>
              <w:spacing w:line="240" w:lineRule="exact"/>
              <w:jc w:val="center"/>
              <w:rPr>
                <w:rFonts w:ascii="宋体" w:hAnsi="宋体" w:cs="宋体"/>
                <w:sz w:val="18"/>
                <w:szCs w:val="18"/>
              </w:rPr>
            </w:pPr>
          </w:p>
        </w:tc>
      </w:tr>
      <w:tr w14:paraId="73AD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38F5153E">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5</w:t>
            </w:r>
          </w:p>
        </w:tc>
        <w:tc>
          <w:tcPr>
            <w:tcW w:w="6098" w:type="dxa"/>
            <w:shd w:val="clear" w:color="auto" w:fill="auto"/>
            <w:vAlign w:val="center"/>
          </w:tcPr>
          <w:p w14:paraId="41100FBF">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建立健全人力资源管理制度，包括但不限于招聘解聘、考核奖惩、教育培训、薪酬福利、员工守则、考勤、职位晋升等。</w:t>
            </w:r>
          </w:p>
        </w:tc>
        <w:tc>
          <w:tcPr>
            <w:tcW w:w="592" w:type="dxa"/>
            <w:shd w:val="clear" w:color="auto" w:fill="auto"/>
            <w:vAlign w:val="center"/>
          </w:tcPr>
          <w:p w14:paraId="10FBB48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520" w:type="dxa"/>
            <w:shd w:val="clear" w:color="auto" w:fill="auto"/>
            <w:vAlign w:val="center"/>
          </w:tcPr>
          <w:p w14:paraId="7BD375BA">
            <w:pPr>
              <w:pStyle w:val="57"/>
              <w:ind w:firstLine="0" w:firstLineChars="0"/>
              <w:jc w:val="left"/>
              <w:rPr>
                <w:rFonts w:ascii="宋体" w:hAnsi="宋体" w:cs="宋体"/>
                <w:kern w:val="0"/>
                <w:sz w:val="18"/>
                <w:szCs w:val="18"/>
                <w:lang w:bidi="ar"/>
              </w:rPr>
            </w:pPr>
            <w:r>
              <w:rPr>
                <w:rFonts w:hint="eastAsia"/>
                <w:spacing w:val="-11"/>
                <w:sz w:val="18"/>
                <w:szCs w:val="18"/>
                <w:lang w:bidi="ar"/>
              </w:rPr>
              <w:t>满足并提供相关材料得1.5分。</w:t>
            </w:r>
          </w:p>
        </w:tc>
        <w:tc>
          <w:tcPr>
            <w:tcW w:w="660" w:type="dxa"/>
            <w:shd w:val="clear" w:color="auto" w:fill="auto"/>
          </w:tcPr>
          <w:p w14:paraId="6351C0EF">
            <w:pPr>
              <w:spacing w:line="240" w:lineRule="exact"/>
              <w:jc w:val="center"/>
              <w:rPr>
                <w:rFonts w:ascii="宋体" w:hAnsi="宋体" w:cs="宋体"/>
                <w:sz w:val="18"/>
                <w:szCs w:val="18"/>
              </w:rPr>
            </w:pPr>
          </w:p>
        </w:tc>
      </w:tr>
      <w:tr w14:paraId="69A7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72967CFA">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6</w:t>
            </w:r>
          </w:p>
        </w:tc>
        <w:tc>
          <w:tcPr>
            <w:tcW w:w="6098" w:type="dxa"/>
            <w:shd w:val="clear" w:color="auto" w:fill="auto"/>
            <w:vAlign w:val="center"/>
          </w:tcPr>
          <w:p w14:paraId="7AF83A11">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建立健全财务管理制度，包括资金管理制度、成本管理制度、年度财务报表等。具备年度经营财报，财报完整,资产负债率低于30%,业绩增速平稳，财务完整。</w:t>
            </w:r>
          </w:p>
        </w:tc>
        <w:tc>
          <w:tcPr>
            <w:tcW w:w="592" w:type="dxa"/>
            <w:shd w:val="clear" w:color="auto" w:fill="auto"/>
            <w:vAlign w:val="center"/>
          </w:tcPr>
          <w:p w14:paraId="65939E4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520" w:type="dxa"/>
            <w:shd w:val="clear" w:color="auto" w:fill="auto"/>
            <w:vAlign w:val="center"/>
          </w:tcPr>
          <w:p w14:paraId="175EEDAD">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财务制度健全0.5分，具备年度财报且完整0.5分，资产负债率低于30%且业绩合理增长0.5分，最高得1.5分。</w:t>
            </w:r>
          </w:p>
        </w:tc>
        <w:tc>
          <w:tcPr>
            <w:tcW w:w="660" w:type="dxa"/>
            <w:shd w:val="clear" w:color="auto" w:fill="auto"/>
          </w:tcPr>
          <w:p w14:paraId="3E4D49AD">
            <w:pPr>
              <w:spacing w:line="240" w:lineRule="exact"/>
              <w:jc w:val="center"/>
              <w:rPr>
                <w:rFonts w:ascii="宋体" w:hAnsi="宋体" w:cs="宋体"/>
                <w:sz w:val="18"/>
                <w:szCs w:val="18"/>
              </w:rPr>
            </w:pPr>
          </w:p>
        </w:tc>
      </w:tr>
      <w:tr w14:paraId="0DF9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29D26069">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7</w:t>
            </w:r>
          </w:p>
        </w:tc>
        <w:tc>
          <w:tcPr>
            <w:tcW w:w="6098" w:type="dxa"/>
            <w:shd w:val="clear" w:color="auto" w:fill="auto"/>
            <w:vAlign w:val="center"/>
          </w:tcPr>
          <w:p w14:paraId="1AB35DB9">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建立后勤管理制度，包括节能减排、水电气维修维护、设备维修维护、卫生保洁等。</w:t>
            </w:r>
          </w:p>
        </w:tc>
        <w:tc>
          <w:tcPr>
            <w:tcW w:w="592" w:type="dxa"/>
            <w:shd w:val="clear" w:color="auto" w:fill="auto"/>
            <w:vAlign w:val="center"/>
          </w:tcPr>
          <w:p w14:paraId="6346218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520" w:type="dxa"/>
            <w:shd w:val="clear" w:color="auto" w:fill="auto"/>
            <w:vAlign w:val="center"/>
          </w:tcPr>
          <w:p w14:paraId="36EA3FA8">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具有1项制度得0.5分,最高得1.5分。</w:t>
            </w:r>
          </w:p>
        </w:tc>
        <w:tc>
          <w:tcPr>
            <w:tcW w:w="660" w:type="dxa"/>
            <w:shd w:val="clear" w:color="auto" w:fill="auto"/>
          </w:tcPr>
          <w:p w14:paraId="0F723579">
            <w:pPr>
              <w:spacing w:line="240" w:lineRule="exact"/>
              <w:jc w:val="center"/>
              <w:rPr>
                <w:rFonts w:ascii="宋体" w:hAnsi="宋体" w:cs="宋体"/>
                <w:sz w:val="18"/>
                <w:szCs w:val="18"/>
              </w:rPr>
            </w:pPr>
          </w:p>
        </w:tc>
      </w:tr>
      <w:tr w14:paraId="1A04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ACE7EBF">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8</w:t>
            </w:r>
          </w:p>
        </w:tc>
        <w:tc>
          <w:tcPr>
            <w:tcW w:w="6098" w:type="dxa"/>
            <w:shd w:val="clear" w:color="auto" w:fill="auto"/>
            <w:vAlign w:val="center"/>
          </w:tcPr>
          <w:p w14:paraId="430E3C9B">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建立资产管理制度,包括固定资产、设备器材、场地设施、物品采购等。</w:t>
            </w:r>
          </w:p>
        </w:tc>
        <w:tc>
          <w:tcPr>
            <w:tcW w:w="592" w:type="dxa"/>
            <w:shd w:val="clear" w:color="auto" w:fill="auto"/>
            <w:vAlign w:val="center"/>
          </w:tcPr>
          <w:p w14:paraId="1B3A162B">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520" w:type="dxa"/>
            <w:shd w:val="clear" w:color="auto" w:fill="auto"/>
            <w:vAlign w:val="center"/>
          </w:tcPr>
          <w:p w14:paraId="5E76D933">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具有1项制度得0.5分,最高得1.5分。</w:t>
            </w:r>
          </w:p>
        </w:tc>
        <w:tc>
          <w:tcPr>
            <w:tcW w:w="660" w:type="dxa"/>
            <w:shd w:val="clear" w:color="auto" w:fill="auto"/>
          </w:tcPr>
          <w:p w14:paraId="48B7FF0C">
            <w:pPr>
              <w:spacing w:line="240" w:lineRule="exact"/>
              <w:jc w:val="center"/>
              <w:rPr>
                <w:rFonts w:ascii="宋体" w:hAnsi="宋体" w:cs="宋体"/>
                <w:sz w:val="18"/>
                <w:szCs w:val="18"/>
              </w:rPr>
            </w:pPr>
          </w:p>
        </w:tc>
      </w:tr>
      <w:tr w14:paraId="5E4F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000B7C8">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9</w:t>
            </w:r>
          </w:p>
        </w:tc>
        <w:tc>
          <w:tcPr>
            <w:tcW w:w="6098" w:type="dxa"/>
            <w:shd w:val="clear" w:color="auto" w:fill="auto"/>
            <w:vAlign w:val="center"/>
          </w:tcPr>
          <w:p w14:paraId="15CF8A23">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建立服务管理制度，包括岗位规范、服务标准、工作流程等。</w:t>
            </w:r>
          </w:p>
        </w:tc>
        <w:tc>
          <w:tcPr>
            <w:tcW w:w="592" w:type="dxa"/>
            <w:shd w:val="clear" w:color="auto" w:fill="auto"/>
            <w:vAlign w:val="center"/>
          </w:tcPr>
          <w:p w14:paraId="0D9E916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520" w:type="dxa"/>
            <w:shd w:val="clear" w:color="auto" w:fill="auto"/>
            <w:vAlign w:val="center"/>
          </w:tcPr>
          <w:p w14:paraId="17026820">
            <w:pPr>
              <w:pStyle w:val="57"/>
              <w:ind w:firstLine="0" w:firstLineChars="0"/>
              <w:jc w:val="left"/>
              <w:rPr>
                <w:rFonts w:ascii="宋体" w:hAnsi="宋体" w:cs="宋体"/>
                <w:kern w:val="0"/>
                <w:sz w:val="18"/>
                <w:szCs w:val="18"/>
                <w:lang w:bidi="ar"/>
              </w:rPr>
            </w:pPr>
            <w:r>
              <w:rPr>
                <w:rFonts w:hint="eastAsia"/>
                <w:spacing w:val="-11"/>
                <w:sz w:val="18"/>
                <w:szCs w:val="18"/>
                <w:lang w:bidi="ar"/>
              </w:rPr>
              <w:t>具有1项得0.5分,最高得2分。</w:t>
            </w:r>
          </w:p>
        </w:tc>
        <w:tc>
          <w:tcPr>
            <w:tcW w:w="660" w:type="dxa"/>
            <w:shd w:val="clear" w:color="auto" w:fill="auto"/>
          </w:tcPr>
          <w:p w14:paraId="3F755568">
            <w:pPr>
              <w:spacing w:line="240" w:lineRule="exact"/>
              <w:jc w:val="center"/>
              <w:rPr>
                <w:rFonts w:ascii="宋体" w:hAnsi="宋体" w:cs="宋体"/>
                <w:sz w:val="18"/>
                <w:szCs w:val="18"/>
              </w:rPr>
            </w:pPr>
          </w:p>
        </w:tc>
      </w:tr>
      <w:tr w14:paraId="595F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DA6D94F">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10</w:t>
            </w:r>
          </w:p>
        </w:tc>
        <w:tc>
          <w:tcPr>
            <w:tcW w:w="6098" w:type="dxa"/>
            <w:shd w:val="clear" w:color="auto" w:fill="auto"/>
            <w:vAlign w:val="center"/>
          </w:tcPr>
          <w:p w14:paraId="6172757C">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建立质量控制管理系统，包括服务质量自评考核、意见调查、服务投诉处理、品牌管理等。</w:t>
            </w:r>
          </w:p>
        </w:tc>
        <w:tc>
          <w:tcPr>
            <w:tcW w:w="592" w:type="dxa"/>
            <w:shd w:val="clear" w:color="auto" w:fill="auto"/>
            <w:vAlign w:val="center"/>
          </w:tcPr>
          <w:p w14:paraId="40AD00C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520" w:type="dxa"/>
            <w:shd w:val="clear" w:color="auto" w:fill="auto"/>
            <w:vAlign w:val="center"/>
          </w:tcPr>
          <w:p w14:paraId="3E9CDFF3">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具有1项制度得0.5分,最高得1.5分。</w:t>
            </w:r>
          </w:p>
        </w:tc>
        <w:tc>
          <w:tcPr>
            <w:tcW w:w="660" w:type="dxa"/>
            <w:shd w:val="clear" w:color="auto" w:fill="auto"/>
          </w:tcPr>
          <w:p w14:paraId="7C9C7966">
            <w:pPr>
              <w:spacing w:line="240" w:lineRule="exact"/>
              <w:jc w:val="center"/>
              <w:rPr>
                <w:rFonts w:ascii="宋体" w:hAnsi="宋体" w:cs="宋体"/>
                <w:sz w:val="18"/>
                <w:szCs w:val="18"/>
              </w:rPr>
            </w:pPr>
          </w:p>
        </w:tc>
      </w:tr>
      <w:tr w14:paraId="23E4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0B3012F5">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11</w:t>
            </w:r>
          </w:p>
        </w:tc>
        <w:tc>
          <w:tcPr>
            <w:tcW w:w="6098" w:type="dxa"/>
            <w:shd w:val="clear" w:color="auto" w:fill="auto"/>
            <w:vAlign w:val="center"/>
          </w:tcPr>
          <w:p w14:paraId="76BE740C">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建立安全管理制度，包括风险防控、应急预案、传染疫情防控等。</w:t>
            </w:r>
          </w:p>
        </w:tc>
        <w:tc>
          <w:tcPr>
            <w:tcW w:w="592" w:type="dxa"/>
            <w:shd w:val="clear" w:color="auto" w:fill="auto"/>
            <w:vAlign w:val="center"/>
          </w:tcPr>
          <w:p w14:paraId="5F40759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520" w:type="dxa"/>
            <w:shd w:val="clear" w:color="auto" w:fill="auto"/>
            <w:vAlign w:val="center"/>
          </w:tcPr>
          <w:p w14:paraId="47F76339">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具有1项制度得0.5分,最高得1.5分。</w:t>
            </w:r>
          </w:p>
        </w:tc>
        <w:tc>
          <w:tcPr>
            <w:tcW w:w="660" w:type="dxa"/>
            <w:shd w:val="clear" w:color="auto" w:fill="auto"/>
          </w:tcPr>
          <w:p w14:paraId="3A4F22A7">
            <w:pPr>
              <w:spacing w:line="240" w:lineRule="exact"/>
              <w:jc w:val="center"/>
              <w:rPr>
                <w:rFonts w:ascii="宋体" w:hAnsi="宋体" w:cs="宋体"/>
                <w:sz w:val="18"/>
                <w:szCs w:val="18"/>
              </w:rPr>
            </w:pPr>
          </w:p>
        </w:tc>
      </w:tr>
      <w:tr w14:paraId="54C6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F8CAB0B">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12</w:t>
            </w:r>
          </w:p>
        </w:tc>
        <w:tc>
          <w:tcPr>
            <w:tcW w:w="6098" w:type="dxa"/>
            <w:shd w:val="clear" w:color="auto" w:fill="auto"/>
            <w:vAlign w:val="center"/>
          </w:tcPr>
          <w:p w14:paraId="18A3E974">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建立质量控制管理系统，包括服务质量自评考核、意见调查、服务 投诉处理、品牌管理等。</w:t>
            </w:r>
          </w:p>
        </w:tc>
        <w:tc>
          <w:tcPr>
            <w:tcW w:w="592" w:type="dxa"/>
            <w:shd w:val="clear" w:color="auto" w:fill="auto"/>
            <w:vAlign w:val="center"/>
          </w:tcPr>
          <w:p w14:paraId="6514EDB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520" w:type="dxa"/>
            <w:shd w:val="clear" w:color="auto" w:fill="auto"/>
            <w:vAlign w:val="center"/>
          </w:tcPr>
          <w:p w14:paraId="3FDF5937">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具有1项制度得0.5分,最高得1.5分。</w:t>
            </w:r>
          </w:p>
        </w:tc>
        <w:tc>
          <w:tcPr>
            <w:tcW w:w="660" w:type="dxa"/>
            <w:shd w:val="clear" w:color="auto" w:fill="auto"/>
          </w:tcPr>
          <w:p w14:paraId="502A5884">
            <w:pPr>
              <w:spacing w:line="240" w:lineRule="exact"/>
              <w:jc w:val="center"/>
              <w:rPr>
                <w:rFonts w:ascii="宋体" w:hAnsi="宋体" w:cs="宋体"/>
                <w:sz w:val="18"/>
                <w:szCs w:val="18"/>
              </w:rPr>
            </w:pPr>
          </w:p>
        </w:tc>
      </w:tr>
      <w:tr w14:paraId="36A7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34A1244">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13</w:t>
            </w:r>
          </w:p>
        </w:tc>
        <w:tc>
          <w:tcPr>
            <w:tcW w:w="6098" w:type="dxa"/>
            <w:vAlign w:val="center"/>
          </w:tcPr>
          <w:p w14:paraId="4A2BADEB">
            <w:pPr>
              <w:pStyle w:val="57"/>
              <w:spacing w:line="0" w:lineRule="atLeast"/>
              <w:ind w:firstLine="0" w:firstLineChars="0"/>
              <w:rPr>
                <w:sz w:val="18"/>
                <w:szCs w:val="18"/>
                <w:lang w:bidi="ar"/>
              </w:rPr>
            </w:pPr>
            <w:r>
              <w:rPr>
                <w:rFonts w:hint="eastAsia"/>
                <w:sz w:val="18"/>
                <w:szCs w:val="18"/>
              </w:rPr>
              <w:t>制定并张贴心肺复苏、自动体外除颤仪（</w:t>
            </w:r>
            <w:r>
              <w:rPr>
                <w:rFonts w:hint="eastAsia"/>
                <w:sz w:val="18"/>
                <w:szCs w:val="18"/>
                <w:lang w:eastAsia="zh-CN"/>
              </w:rPr>
              <w:t>AED</w:t>
            </w:r>
            <w:r>
              <w:rPr>
                <w:rFonts w:hint="eastAsia"/>
                <w:sz w:val="18"/>
                <w:szCs w:val="18"/>
              </w:rPr>
              <w:t>）等操作规程，并定期组织急救知识培训与相关演练。</w:t>
            </w:r>
          </w:p>
        </w:tc>
        <w:tc>
          <w:tcPr>
            <w:tcW w:w="592" w:type="dxa"/>
            <w:vAlign w:val="center"/>
          </w:tcPr>
          <w:p w14:paraId="1831D650">
            <w:pPr>
              <w:pStyle w:val="57"/>
              <w:ind w:firstLine="0" w:firstLineChars="0"/>
              <w:jc w:val="center"/>
              <w:rPr>
                <w:lang w:bidi="ar"/>
              </w:rPr>
            </w:pPr>
            <w:r>
              <w:rPr>
                <w:rFonts w:hint="eastAsia" w:hAnsi="宋体" w:cs="宋体"/>
                <w:sz w:val="20"/>
                <w:lang w:bidi="ar"/>
              </w:rPr>
              <w:t>1.5</w:t>
            </w:r>
          </w:p>
        </w:tc>
        <w:tc>
          <w:tcPr>
            <w:tcW w:w="2520" w:type="dxa"/>
            <w:vAlign w:val="center"/>
          </w:tcPr>
          <w:p w14:paraId="5F109C79">
            <w:pPr>
              <w:pStyle w:val="57"/>
              <w:ind w:firstLine="0" w:firstLineChars="0"/>
              <w:jc w:val="left"/>
              <w:rPr>
                <w:sz w:val="18"/>
                <w:szCs w:val="18"/>
                <w:lang w:bidi="ar"/>
              </w:rPr>
            </w:pPr>
            <w:r>
              <w:rPr>
                <w:rFonts w:hint="eastAsia"/>
                <w:spacing w:val="-11"/>
                <w:sz w:val="18"/>
                <w:szCs w:val="18"/>
                <w:lang w:bidi="ar"/>
              </w:rPr>
              <w:t>满足并提供相关材料得1.5分。</w:t>
            </w:r>
          </w:p>
        </w:tc>
        <w:tc>
          <w:tcPr>
            <w:tcW w:w="660" w:type="dxa"/>
          </w:tcPr>
          <w:p w14:paraId="68CC1A72">
            <w:pPr>
              <w:pStyle w:val="57"/>
              <w:ind w:firstLine="0" w:firstLineChars="0"/>
              <w:rPr>
                <w:sz w:val="18"/>
                <w:szCs w:val="18"/>
                <w:lang w:bidi="ar"/>
              </w:rPr>
            </w:pPr>
          </w:p>
        </w:tc>
      </w:tr>
      <w:tr w14:paraId="2086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60" w:type="dxa"/>
            <w:vAlign w:val="center"/>
          </w:tcPr>
          <w:p w14:paraId="120F269A">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14</w:t>
            </w:r>
          </w:p>
        </w:tc>
        <w:tc>
          <w:tcPr>
            <w:tcW w:w="6098" w:type="dxa"/>
            <w:vAlign w:val="center"/>
          </w:tcPr>
          <w:p w14:paraId="53F6A0DC">
            <w:pPr>
              <w:pStyle w:val="57"/>
              <w:spacing w:line="0" w:lineRule="atLeast"/>
              <w:ind w:firstLine="0" w:firstLineChars="0"/>
              <w:rPr>
                <w:sz w:val="18"/>
                <w:szCs w:val="18"/>
              </w:rPr>
            </w:pPr>
            <w:r>
              <w:rPr>
                <w:rFonts w:hint="eastAsia"/>
                <w:sz w:val="18"/>
                <w:szCs w:val="18"/>
              </w:rPr>
              <w:t>应建立卫生及水质的管理和检查制度，并悬挂在明显位置。</w:t>
            </w:r>
          </w:p>
        </w:tc>
        <w:tc>
          <w:tcPr>
            <w:tcW w:w="592" w:type="dxa"/>
            <w:vAlign w:val="center"/>
          </w:tcPr>
          <w:p w14:paraId="3DC0B5FD">
            <w:pPr>
              <w:pStyle w:val="57"/>
              <w:ind w:firstLine="0" w:firstLineChars="0"/>
              <w:jc w:val="center"/>
              <w:rPr>
                <w:rFonts w:hAnsi="宋体" w:cs="宋体"/>
                <w:sz w:val="20"/>
                <w:lang w:bidi="ar"/>
              </w:rPr>
            </w:pPr>
            <w:r>
              <w:rPr>
                <w:rFonts w:hint="eastAsia" w:hAnsi="宋体" w:cs="宋体"/>
                <w:sz w:val="20"/>
                <w:lang w:bidi="ar"/>
              </w:rPr>
              <w:t>1</w:t>
            </w:r>
          </w:p>
        </w:tc>
        <w:tc>
          <w:tcPr>
            <w:tcW w:w="2520" w:type="dxa"/>
            <w:vAlign w:val="center"/>
          </w:tcPr>
          <w:p w14:paraId="2F3B9D1A">
            <w:pPr>
              <w:pStyle w:val="57"/>
              <w:ind w:firstLine="0" w:firstLineChars="0"/>
              <w:jc w:val="left"/>
              <w:rPr>
                <w:sz w:val="18"/>
                <w:szCs w:val="18"/>
                <w:lang w:bidi="ar"/>
              </w:rPr>
            </w:pPr>
            <w:r>
              <w:rPr>
                <w:rFonts w:hint="eastAsia"/>
                <w:sz w:val="18"/>
                <w:szCs w:val="18"/>
                <w:lang w:bidi="ar"/>
              </w:rPr>
              <w:t>满足并提供相关材料得1分。</w:t>
            </w:r>
          </w:p>
        </w:tc>
        <w:tc>
          <w:tcPr>
            <w:tcW w:w="660" w:type="dxa"/>
          </w:tcPr>
          <w:p w14:paraId="246847BF">
            <w:pPr>
              <w:pStyle w:val="57"/>
              <w:ind w:firstLine="0" w:firstLineChars="0"/>
              <w:rPr>
                <w:sz w:val="18"/>
                <w:szCs w:val="18"/>
                <w:lang w:bidi="ar"/>
              </w:rPr>
            </w:pPr>
          </w:p>
        </w:tc>
      </w:tr>
      <w:tr w14:paraId="4321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0" w:type="dxa"/>
            <w:vAlign w:val="center"/>
          </w:tcPr>
          <w:p w14:paraId="42E3D1E6">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15</w:t>
            </w:r>
          </w:p>
        </w:tc>
        <w:tc>
          <w:tcPr>
            <w:tcW w:w="6098" w:type="dxa"/>
            <w:shd w:val="clear" w:color="auto" w:fill="auto"/>
            <w:vAlign w:val="center"/>
          </w:tcPr>
          <w:p w14:paraId="1C9255DC">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私教课程种类，</w:t>
            </w:r>
            <w:r>
              <w:rPr>
                <w:rFonts w:ascii="宋体" w:hAnsi="宋体" w:cs="宋体"/>
                <w:kern w:val="0"/>
                <w:sz w:val="18"/>
                <w:szCs w:val="18"/>
                <w:lang w:bidi="ar"/>
              </w:rPr>
              <w:t>主要包括</w:t>
            </w:r>
            <w:r>
              <w:rPr>
                <w:rFonts w:hint="eastAsia" w:ascii="宋体" w:hAnsi="宋体" w:cs="宋体"/>
                <w:kern w:val="0"/>
                <w:sz w:val="18"/>
                <w:szCs w:val="18"/>
                <w:lang w:bidi="ar"/>
              </w:rPr>
              <w:t>青少年儿童游泳项目技术</w:t>
            </w:r>
            <w:r>
              <w:rPr>
                <w:rFonts w:ascii="宋体" w:hAnsi="宋体" w:cs="宋体"/>
                <w:kern w:val="0"/>
                <w:sz w:val="18"/>
                <w:szCs w:val="18"/>
                <w:lang w:bidi="ar"/>
              </w:rPr>
              <w:t>、</w:t>
            </w:r>
            <w:r>
              <w:rPr>
                <w:rFonts w:hint="eastAsia" w:ascii="宋体" w:hAnsi="宋体" w:cs="宋体"/>
                <w:kern w:val="0"/>
                <w:sz w:val="18"/>
                <w:szCs w:val="18"/>
                <w:lang w:bidi="ar"/>
              </w:rPr>
              <w:t>成人游泳项目技术、青少年儿童心肺功能训练、以及体能、康复等训练。</w:t>
            </w:r>
          </w:p>
        </w:tc>
        <w:tc>
          <w:tcPr>
            <w:tcW w:w="592" w:type="dxa"/>
            <w:shd w:val="clear" w:color="auto" w:fill="auto"/>
            <w:vAlign w:val="center"/>
          </w:tcPr>
          <w:p w14:paraId="643FA05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520" w:type="dxa"/>
            <w:shd w:val="clear" w:color="auto" w:fill="auto"/>
            <w:vAlign w:val="center"/>
          </w:tcPr>
          <w:p w14:paraId="25EEDBB2">
            <w:pPr>
              <w:widowControl/>
              <w:spacing w:line="240" w:lineRule="exact"/>
              <w:textAlignment w:val="center"/>
              <w:rPr>
                <w:rFonts w:ascii="宋体" w:hAnsi="宋体" w:cs="宋体"/>
                <w:kern w:val="0"/>
                <w:sz w:val="18"/>
                <w:szCs w:val="18"/>
                <w:lang w:bidi="ar"/>
              </w:rPr>
            </w:pPr>
            <w:r>
              <w:rPr>
                <w:rFonts w:ascii="宋体" w:hAnsi="宋体" w:cs="宋体"/>
                <w:kern w:val="0"/>
                <w:sz w:val="18"/>
                <w:szCs w:val="18"/>
                <w:lang w:bidi="ar"/>
              </w:rPr>
              <w:t>每配置1项课程得</w:t>
            </w:r>
            <w:r>
              <w:rPr>
                <w:rFonts w:hint="eastAsia" w:ascii="宋体" w:hAnsi="宋体" w:cs="宋体"/>
                <w:kern w:val="0"/>
                <w:sz w:val="18"/>
                <w:szCs w:val="18"/>
                <w:lang w:bidi="ar"/>
              </w:rPr>
              <w:t>0.1</w:t>
            </w:r>
            <w:r>
              <w:rPr>
                <w:rFonts w:ascii="宋体" w:hAnsi="宋体" w:cs="宋体"/>
                <w:kern w:val="0"/>
                <w:sz w:val="18"/>
                <w:szCs w:val="18"/>
                <w:lang w:bidi="ar"/>
              </w:rPr>
              <w:t>分,最高得1分</w:t>
            </w:r>
            <w:r>
              <w:rPr>
                <w:rFonts w:hint="eastAsia" w:ascii="宋体" w:hAnsi="宋体" w:cs="宋体"/>
                <w:kern w:val="0"/>
                <w:sz w:val="18"/>
                <w:szCs w:val="18"/>
                <w:lang w:bidi="ar"/>
              </w:rPr>
              <w:t>。</w:t>
            </w:r>
          </w:p>
        </w:tc>
        <w:tc>
          <w:tcPr>
            <w:tcW w:w="660" w:type="dxa"/>
            <w:shd w:val="clear" w:color="auto" w:fill="auto"/>
          </w:tcPr>
          <w:p w14:paraId="031695F5">
            <w:pPr>
              <w:spacing w:line="240" w:lineRule="exact"/>
              <w:jc w:val="center"/>
              <w:rPr>
                <w:rFonts w:ascii="宋体" w:hAnsi="宋体" w:cs="宋体"/>
                <w:sz w:val="18"/>
                <w:szCs w:val="18"/>
              </w:rPr>
            </w:pPr>
          </w:p>
        </w:tc>
      </w:tr>
      <w:tr w14:paraId="03D0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0" w:type="dxa"/>
            <w:vAlign w:val="center"/>
          </w:tcPr>
          <w:p w14:paraId="787CD4C5">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16</w:t>
            </w:r>
          </w:p>
        </w:tc>
        <w:tc>
          <w:tcPr>
            <w:tcW w:w="6098" w:type="dxa"/>
            <w:shd w:val="clear" w:color="auto" w:fill="auto"/>
            <w:vAlign w:val="center"/>
          </w:tcPr>
          <w:p w14:paraId="61EE7CAD">
            <w:pPr>
              <w:widowControl/>
              <w:spacing w:line="240" w:lineRule="exact"/>
              <w:textAlignment w:val="center"/>
              <w:rPr>
                <w:rFonts w:hint="eastAsia" w:ascii="宋体" w:hAnsi="宋体" w:eastAsia="宋体" w:cs="宋体"/>
                <w:kern w:val="0"/>
                <w:sz w:val="18"/>
                <w:szCs w:val="18"/>
                <w:lang w:eastAsia="zh-CN" w:bidi="ar"/>
              </w:rPr>
            </w:pPr>
            <w:r>
              <w:rPr>
                <w:rFonts w:hint="eastAsia" w:ascii="宋体" w:hAnsi="宋体" w:cs="宋体"/>
                <w:kern w:val="0"/>
                <w:sz w:val="18"/>
                <w:szCs w:val="18"/>
                <w:lang w:bidi="ar"/>
              </w:rPr>
              <w:t>游泳私教课程符合全国单项体育协会专业健身教练的课程要求</w:t>
            </w:r>
            <w:r>
              <w:rPr>
                <w:rFonts w:hint="eastAsia" w:ascii="宋体" w:hAnsi="宋体" w:cs="宋体"/>
                <w:kern w:val="0"/>
                <w:sz w:val="18"/>
                <w:szCs w:val="18"/>
                <w:lang w:eastAsia="zh-CN" w:bidi="ar"/>
              </w:rPr>
              <w:t>。</w:t>
            </w:r>
          </w:p>
        </w:tc>
        <w:tc>
          <w:tcPr>
            <w:tcW w:w="592" w:type="dxa"/>
            <w:shd w:val="clear" w:color="auto" w:fill="auto"/>
            <w:vAlign w:val="center"/>
          </w:tcPr>
          <w:p w14:paraId="75BBBF1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520" w:type="dxa"/>
            <w:shd w:val="clear" w:color="auto" w:fill="auto"/>
            <w:vAlign w:val="center"/>
          </w:tcPr>
          <w:p w14:paraId="4E9AF608">
            <w:pPr>
              <w:widowControl/>
              <w:spacing w:line="240" w:lineRule="exact"/>
              <w:textAlignment w:val="center"/>
              <w:rPr>
                <w:rFonts w:ascii="宋体" w:hAnsi="宋体" w:cs="宋体"/>
                <w:kern w:val="0"/>
                <w:sz w:val="18"/>
                <w:szCs w:val="18"/>
                <w:lang w:bidi="ar"/>
              </w:rPr>
            </w:pPr>
            <w:r>
              <w:rPr>
                <w:rFonts w:ascii="宋体" w:hAnsi="宋体" w:cs="宋体"/>
                <w:kern w:val="0"/>
                <w:sz w:val="18"/>
                <w:szCs w:val="18"/>
                <w:lang w:bidi="ar"/>
              </w:rPr>
              <w:t>设符合全国单项体育协会规定的私教课程得</w:t>
            </w:r>
            <w:r>
              <w:rPr>
                <w:rFonts w:hint="eastAsia" w:ascii="宋体" w:hAnsi="宋体" w:cs="宋体"/>
                <w:kern w:val="0"/>
                <w:sz w:val="18"/>
                <w:szCs w:val="18"/>
                <w:lang w:bidi="ar"/>
              </w:rPr>
              <w:t>1</w:t>
            </w:r>
            <w:r>
              <w:rPr>
                <w:rFonts w:ascii="宋体" w:hAnsi="宋体" w:cs="宋体"/>
                <w:kern w:val="0"/>
                <w:sz w:val="18"/>
                <w:szCs w:val="18"/>
                <w:lang w:bidi="ar"/>
              </w:rPr>
              <w:t>分</w:t>
            </w:r>
            <w:r>
              <w:rPr>
                <w:rFonts w:hint="eastAsia" w:ascii="宋体" w:hAnsi="宋体" w:cs="宋体"/>
                <w:kern w:val="0"/>
                <w:sz w:val="18"/>
                <w:szCs w:val="18"/>
                <w:lang w:bidi="ar"/>
              </w:rPr>
              <w:t>。</w:t>
            </w:r>
          </w:p>
        </w:tc>
        <w:tc>
          <w:tcPr>
            <w:tcW w:w="660" w:type="dxa"/>
            <w:shd w:val="clear" w:color="auto" w:fill="auto"/>
          </w:tcPr>
          <w:p w14:paraId="39612815">
            <w:pPr>
              <w:spacing w:line="240" w:lineRule="exact"/>
              <w:jc w:val="center"/>
              <w:rPr>
                <w:rFonts w:ascii="宋体" w:hAnsi="宋体" w:cs="宋体"/>
                <w:sz w:val="18"/>
                <w:szCs w:val="18"/>
              </w:rPr>
            </w:pPr>
          </w:p>
        </w:tc>
      </w:tr>
      <w:tr w14:paraId="3A32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60" w:type="dxa"/>
            <w:vAlign w:val="center"/>
          </w:tcPr>
          <w:p w14:paraId="7D99D6EE">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17</w:t>
            </w:r>
          </w:p>
        </w:tc>
        <w:tc>
          <w:tcPr>
            <w:tcW w:w="6098" w:type="dxa"/>
            <w:shd w:val="clear" w:color="auto" w:fill="auto"/>
            <w:vAlign w:val="center"/>
          </w:tcPr>
          <w:p w14:paraId="5E030D92">
            <w:pPr>
              <w:widowControl/>
              <w:spacing w:line="240" w:lineRule="exact"/>
              <w:textAlignment w:val="center"/>
              <w:rPr>
                <w:rFonts w:ascii="宋体" w:hAnsi="宋体" w:cs="宋体"/>
                <w:kern w:val="0"/>
                <w:sz w:val="18"/>
                <w:szCs w:val="18"/>
                <w:lang w:bidi="ar"/>
              </w:rPr>
            </w:pPr>
            <w:r>
              <w:rPr>
                <w:rFonts w:hint="eastAsia" w:ascii="宋体" w:hAnsi="宋体" w:cs="宋体"/>
                <w:kern w:val="0"/>
                <w:sz w:val="18"/>
                <w:szCs w:val="18"/>
                <w:lang w:bidi="ar"/>
              </w:rPr>
              <w:t>具有针对少年儿童开展的不同游泳项目团体特色课程。</w:t>
            </w:r>
          </w:p>
          <w:p w14:paraId="2588A97C">
            <w:pPr>
              <w:widowControl/>
              <w:spacing w:line="240" w:lineRule="exact"/>
              <w:textAlignment w:val="center"/>
              <w:rPr>
                <w:rFonts w:ascii="宋体" w:hAnsi="宋体" w:cs="宋体"/>
                <w:kern w:val="0"/>
                <w:sz w:val="18"/>
                <w:szCs w:val="18"/>
                <w:lang w:bidi="ar"/>
              </w:rPr>
            </w:pPr>
          </w:p>
        </w:tc>
        <w:tc>
          <w:tcPr>
            <w:tcW w:w="592" w:type="dxa"/>
            <w:shd w:val="clear" w:color="auto" w:fill="auto"/>
            <w:vAlign w:val="center"/>
          </w:tcPr>
          <w:p w14:paraId="79B09108">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520" w:type="dxa"/>
            <w:shd w:val="clear" w:color="auto" w:fill="auto"/>
            <w:vAlign w:val="center"/>
          </w:tcPr>
          <w:p w14:paraId="57487860">
            <w:pPr>
              <w:widowControl/>
              <w:spacing w:line="240" w:lineRule="exact"/>
              <w:textAlignment w:val="center"/>
              <w:rPr>
                <w:rFonts w:ascii="宋体" w:hAnsi="宋体" w:cs="宋体"/>
                <w:kern w:val="0"/>
                <w:sz w:val="18"/>
                <w:szCs w:val="18"/>
                <w:lang w:bidi="ar"/>
              </w:rPr>
            </w:pPr>
            <w:r>
              <w:rPr>
                <w:rFonts w:ascii="宋体" w:hAnsi="宋体" w:cs="宋体"/>
                <w:kern w:val="0"/>
                <w:sz w:val="18"/>
                <w:szCs w:val="18"/>
                <w:lang w:bidi="ar"/>
              </w:rPr>
              <w:t>每配置1项课程得</w:t>
            </w:r>
            <w:r>
              <w:rPr>
                <w:rFonts w:hint="eastAsia" w:ascii="宋体" w:hAnsi="宋体" w:cs="宋体"/>
                <w:kern w:val="0"/>
                <w:sz w:val="18"/>
                <w:szCs w:val="18"/>
                <w:lang w:bidi="ar"/>
              </w:rPr>
              <w:t>0.3</w:t>
            </w:r>
            <w:r>
              <w:rPr>
                <w:rFonts w:ascii="宋体" w:hAnsi="宋体" w:cs="宋体"/>
                <w:kern w:val="0"/>
                <w:sz w:val="18"/>
                <w:szCs w:val="18"/>
                <w:lang w:bidi="ar"/>
              </w:rPr>
              <w:t>分</w:t>
            </w:r>
            <w:r>
              <w:rPr>
                <w:rFonts w:hint="eastAsia" w:ascii="宋体" w:hAnsi="宋体" w:cs="宋体"/>
                <w:kern w:val="0"/>
                <w:sz w:val="18"/>
                <w:szCs w:val="18"/>
                <w:lang w:bidi="ar"/>
              </w:rPr>
              <w:t>，</w:t>
            </w:r>
            <w:r>
              <w:rPr>
                <w:rFonts w:ascii="宋体" w:hAnsi="宋体" w:cs="宋体"/>
                <w:kern w:val="0"/>
                <w:sz w:val="18"/>
                <w:szCs w:val="18"/>
                <w:lang w:bidi="ar"/>
              </w:rPr>
              <w:t>最高得1分</w:t>
            </w:r>
            <w:r>
              <w:rPr>
                <w:rFonts w:hint="eastAsia" w:ascii="宋体" w:hAnsi="宋体" w:cs="宋体"/>
                <w:kern w:val="0"/>
                <w:sz w:val="18"/>
                <w:szCs w:val="18"/>
                <w:lang w:bidi="ar"/>
              </w:rPr>
              <w:t>。</w:t>
            </w:r>
          </w:p>
        </w:tc>
        <w:tc>
          <w:tcPr>
            <w:tcW w:w="660" w:type="dxa"/>
            <w:shd w:val="clear" w:color="auto" w:fill="auto"/>
          </w:tcPr>
          <w:p w14:paraId="443FCAFC">
            <w:pPr>
              <w:spacing w:line="240" w:lineRule="exact"/>
              <w:jc w:val="center"/>
              <w:rPr>
                <w:rFonts w:ascii="宋体" w:hAnsi="宋体" w:cs="宋体"/>
                <w:sz w:val="18"/>
                <w:szCs w:val="18"/>
              </w:rPr>
            </w:pPr>
          </w:p>
        </w:tc>
      </w:tr>
      <w:tr w14:paraId="18B1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694FF544">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18</w:t>
            </w:r>
          </w:p>
        </w:tc>
        <w:tc>
          <w:tcPr>
            <w:tcW w:w="6098" w:type="dxa"/>
            <w:vAlign w:val="center"/>
          </w:tcPr>
          <w:p w14:paraId="10315692">
            <w:pPr>
              <w:pStyle w:val="57"/>
              <w:spacing w:line="0" w:lineRule="atLeast"/>
              <w:ind w:firstLine="0" w:firstLineChars="0"/>
              <w:rPr>
                <w:sz w:val="18"/>
                <w:szCs w:val="18"/>
                <w:lang w:bidi="ar"/>
              </w:rPr>
            </w:pPr>
            <w:r>
              <w:rPr>
                <w:rFonts w:hint="eastAsia"/>
                <w:sz w:val="18"/>
                <w:szCs w:val="18"/>
              </w:rPr>
              <w:t>有在线预约、游泳池（馆）介绍、交通导航、会员会籍、课程教培、游泳知识、运动健康报告、物联设备、营销优惠、在线商城、营销活动、设备巡检等智慧运营管理系统。</w:t>
            </w:r>
          </w:p>
        </w:tc>
        <w:tc>
          <w:tcPr>
            <w:tcW w:w="592" w:type="dxa"/>
            <w:vAlign w:val="center"/>
          </w:tcPr>
          <w:p w14:paraId="064B7ADC">
            <w:pPr>
              <w:pStyle w:val="57"/>
              <w:ind w:firstLine="0" w:firstLineChars="0"/>
              <w:jc w:val="center"/>
              <w:rPr>
                <w:lang w:bidi="ar"/>
              </w:rPr>
            </w:pPr>
            <w:r>
              <w:rPr>
                <w:rFonts w:hint="eastAsia" w:hAnsi="宋体" w:cs="宋体"/>
                <w:sz w:val="20"/>
                <w:lang w:bidi="ar"/>
              </w:rPr>
              <w:t>2</w:t>
            </w:r>
          </w:p>
        </w:tc>
        <w:tc>
          <w:tcPr>
            <w:tcW w:w="2520" w:type="dxa"/>
            <w:vAlign w:val="center"/>
          </w:tcPr>
          <w:p w14:paraId="597EB7D4">
            <w:pPr>
              <w:pStyle w:val="57"/>
              <w:ind w:firstLine="0" w:firstLineChars="0"/>
              <w:jc w:val="left"/>
              <w:rPr>
                <w:spacing w:val="-6"/>
                <w:sz w:val="18"/>
                <w:szCs w:val="18"/>
                <w:lang w:bidi="ar"/>
              </w:rPr>
            </w:pPr>
            <w:r>
              <w:rPr>
                <w:rFonts w:hint="eastAsia"/>
                <w:spacing w:val="-6"/>
                <w:sz w:val="18"/>
                <w:szCs w:val="18"/>
                <w:lang w:bidi="ar"/>
              </w:rPr>
              <w:t>每具有一项得0.15分，最高2分。</w:t>
            </w:r>
          </w:p>
        </w:tc>
        <w:tc>
          <w:tcPr>
            <w:tcW w:w="660" w:type="dxa"/>
          </w:tcPr>
          <w:p w14:paraId="6EA327D0">
            <w:pPr>
              <w:pStyle w:val="57"/>
              <w:ind w:firstLine="0" w:firstLineChars="0"/>
              <w:rPr>
                <w:sz w:val="18"/>
                <w:szCs w:val="18"/>
                <w:lang w:bidi="ar"/>
              </w:rPr>
            </w:pPr>
          </w:p>
        </w:tc>
      </w:tr>
      <w:tr w14:paraId="2261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60" w:type="dxa"/>
            <w:vAlign w:val="center"/>
          </w:tcPr>
          <w:p w14:paraId="0A40AAFD">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19</w:t>
            </w:r>
          </w:p>
        </w:tc>
        <w:tc>
          <w:tcPr>
            <w:tcW w:w="6098" w:type="dxa"/>
            <w:vAlign w:val="center"/>
          </w:tcPr>
          <w:p w14:paraId="4650D5B5">
            <w:pPr>
              <w:pStyle w:val="57"/>
              <w:spacing w:line="0" w:lineRule="atLeast"/>
              <w:ind w:firstLine="0" w:firstLineChars="0"/>
              <w:rPr>
                <w:sz w:val="18"/>
                <w:szCs w:val="18"/>
                <w:lang w:bidi="ar"/>
              </w:rPr>
            </w:pPr>
            <w:r>
              <w:rPr>
                <w:rFonts w:hint="eastAsia"/>
                <w:sz w:val="18"/>
                <w:szCs w:val="18"/>
              </w:rPr>
              <w:t>员工与单位签署具有法律效力的劳动合同。</w:t>
            </w:r>
          </w:p>
        </w:tc>
        <w:tc>
          <w:tcPr>
            <w:tcW w:w="592" w:type="dxa"/>
            <w:vAlign w:val="center"/>
          </w:tcPr>
          <w:p w14:paraId="065C7F77">
            <w:pPr>
              <w:pStyle w:val="57"/>
              <w:ind w:firstLine="0" w:firstLineChars="0"/>
              <w:jc w:val="center"/>
              <w:rPr>
                <w:lang w:bidi="ar"/>
              </w:rPr>
            </w:pPr>
            <w:r>
              <w:rPr>
                <w:rFonts w:hint="eastAsia"/>
                <w:lang w:bidi="ar"/>
              </w:rPr>
              <w:t>0.5</w:t>
            </w:r>
          </w:p>
        </w:tc>
        <w:tc>
          <w:tcPr>
            <w:tcW w:w="2520" w:type="dxa"/>
            <w:vAlign w:val="center"/>
          </w:tcPr>
          <w:p w14:paraId="0A282B46">
            <w:pPr>
              <w:pStyle w:val="57"/>
              <w:ind w:firstLine="0" w:firstLineChars="0"/>
              <w:jc w:val="both"/>
              <w:rPr>
                <w:sz w:val="18"/>
                <w:szCs w:val="18"/>
                <w:lang w:bidi="ar"/>
              </w:rPr>
            </w:pPr>
            <w:r>
              <w:rPr>
                <w:rFonts w:hint="eastAsia"/>
                <w:sz w:val="18"/>
                <w:szCs w:val="18"/>
              </w:rPr>
              <w:t>满足得0.5分。</w:t>
            </w:r>
          </w:p>
        </w:tc>
        <w:tc>
          <w:tcPr>
            <w:tcW w:w="660" w:type="dxa"/>
          </w:tcPr>
          <w:p w14:paraId="662D2927">
            <w:pPr>
              <w:pStyle w:val="57"/>
              <w:ind w:firstLine="0" w:firstLineChars="0"/>
              <w:rPr>
                <w:sz w:val="18"/>
                <w:szCs w:val="18"/>
                <w:lang w:bidi="ar"/>
              </w:rPr>
            </w:pPr>
          </w:p>
        </w:tc>
      </w:tr>
      <w:tr w14:paraId="77B9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0" w:type="dxa"/>
            <w:vAlign w:val="center"/>
          </w:tcPr>
          <w:p w14:paraId="51F4A5B1">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20</w:t>
            </w:r>
          </w:p>
        </w:tc>
        <w:tc>
          <w:tcPr>
            <w:tcW w:w="6098" w:type="dxa"/>
            <w:vAlign w:val="center"/>
          </w:tcPr>
          <w:p w14:paraId="1AE97636">
            <w:pPr>
              <w:pStyle w:val="57"/>
              <w:spacing w:line="0" w:lineRule="atLeast"/>
              <w:ind w:firstLine="0" w:firstLineChars="0"/>
              <w:rPr>
                <w:sz w:val="18"/>
                <w:szCs w:val="18"/>
                <w:lang w:bidi="ar"/>
              </w:rPr>
            </w:pPr>
            <w:r>
              <w:rPr>
                <w:rFonts w:hint="eastAsia"/>
                <w:sz w:val="18"/>
                <w:szCs w:val="18"/>
              </w:rPr>
              <w:t>日常管理运营使用办公自动化系统（OA）。</w:t>
            </w:r>
          </w:p>
        </w:tc>
        <w:tc>
          <w:tcPr>
            <w:tcW w:w="592" w:type="dxa"/>
            <w:vAlign w:val="center"/>
          </w:tcPr>
          <w:p w14:paraId="5EACFCD8">
            <w:pPr>
              <w:pStyle w:val="57"/>
              <w:ind w:firstLine="0" w:firstLineChars="0"/>
              <w:jc w:val="center"/>
              <w:rPr>
                <w:lang w:bidi="ar"/>
              </w:rPr>
            </w:pPr>
            <w:r>
              <w:rPr>
                <w:rFonts w:hint="eastAsia"/>
                <w:lang w:bidi="ar"/>
              </w:rPr>
              <w:t>0.5</w:t>
            </w:r>
          </w:p>
        </w:tc>
        <w:tc>
          <w:tcPr>
            <w:tcW w:w="2520" w:type="dxa"/>
            <w:vAlign w:val="center"/>
          </w:tcPr>
          <w:p w14:paraId="08B49F76">
            <w:pPr>
              <w:pStyle w:val="57"/>
              <w:ind w:firstLine="0" w:firstLineChars="0"/>
              <w:jc w:val="both"/>
              <w:rPr>
                <w:sz w:val="18"/>
                <w:szCs w:val="18"/>
                <w:lang w:bidi="ar"/>
              </w:rPr>
            </w:pPr>
            <w:r>
              <w:rPr>
                <w:rFonts w:hint="eastAsia"/>
                <w:sz w:val="18"/>
                <w:szCs w:val="18"/>
              </w:rPr>
              <w:t>满足得0.5分。</w:t>
            </w:r>
          </w:p>
        </w:tc>
        <w:tc>
          <w:tcPr>
            <w:tcW w:w="660" w:type="dxa"/>
          </w:tcPr>
          <w:p w14:paraId="1002C139">
            <w:pPr>
              <w:pStyle w:val="57"/>
              <w:ind w:firstLine="0" w:firstLineChars="0"/>
              <w:rPr>
                <w:sz w:val="18"/>
                <w:szCs w:val="18"/>
                <w:lang w:bidi="ar"/>
              </w:rPr>
            </w:pPr>
          </w:p>
        </w:tc>
      </w:tr>
      <w:tr w14:paraId="0393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60" w:type="dxa"/>
            <w:vAlign w:val="center"/>
          </w:tcPr>
          <w:p w14:paraId="59C8C5C2">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21</w:t>
            </w:r>
          </w:p>
        </w:tc>
        <w:tc>
          <w:tcPr>
            <w:tcW w:w="6098" w:type="dxa"/>
            <w:vAlign w:val="center"/>
          </w:tcPr>
          <w:p w14:paraId="6D90C144">
            <w:pPr>
              <w:pStyle w:val="57"/>
              <w:spacing w:line="0" w:lineRule="atLeast"/>
              <w:ind w:firstLine="0" w:firstLineChars="0"/>
              <w:rPr>
                <w:sz w:val="18"/>
                <w:szCs w:val="18"/>
                <w:lang w:bidi="ar"/>
              </w:rPr>
            </w:pPr>
            <w:r>
              <w:rPr>
                <w:rFonts w:hint="eastAsia" w:hAnsi="宋体" w:cs="宋体"/>
                <w:sz w:val="18"/>
                <w:szCs w:val="18"/>
                <w:lang w:bidi="ar"/>
              </w:rPr>
              <w:t>制定合理的收费制度，明确收费和免费项目，并在醒目位置进行公示，以及游泳池（馆）简介、教练资质介绍、服务信息等内容的公示。</w:t>
            </w:r>
          </w:p>
        </w:tc>
        <w:tc>
          <w:tcPr>
            <w:tcW w:w="592" w:type="dxa"/>
            <w:vAlign w:val="center"/>
          </w:tcPr>
          <w:p w14:paraId="067B9336">
            <w:pPr>
              <w:pStyle w:val="57"/>
              <w:ind w:firstLine="0" w:firstLineChars="0"/>
              <w:jc w:val="center"/>
              <w:rPr>
                <w:lang w:bidi="ar"/>
              </w:rPr>
            </w:pPr>
            <w:r>
              <w:rPr>
                <w:rFonts w:hint="eastAsia" w:hAnsi="宋体" w:cs="宋体"/>
                <w:sz w:val="20"/>
                <w:lang w:bidi="ar"/>
              </w:rPr>
              <w:t>1</w:t>
            </w:r>
          </w:p>
        </w:tc>
        <w:tc>
          <w:tcPr>
            <w:tcW w:w="2520" w:type="dxa"/>
          </w:tcPr>
          <w:p w14:paraId="6B264DF4">
            <w:pPr>
              <w:pStyle w:val="57"/>
              <w:ind w:firstLine="0" w:firstLineChars="0"/>
              <w:jc w:val="left"/>
              <w:rPr>
                <w:sz w:val="18"/>
                <w:szCs w:val="18"/>
                <w:lang w:bidi="ar"/>
              </w:rPr>
            </w:pPr>
            <w:r>
              <w:rPr>
                <w:rFonts w:hint="eastAsia"/>
                <w:sz w:val="18"/>
                <w:szCs w:val="18"/>
              </w:rPr>
              <w:t>有相关内容0.5分，并进行公示0.5分，最高得1分。</w:t>
            </w:r>
          </w:p>
        </w:tc>
        <w:tc>
          <w:tcPr>
            <w:tcW w:w="660" w:type="dxa"/>
          </w:tcPr>
          <w:p w14:paraId="6062A51A">
            <w:pPr>
              <w:pStyle w:val="57"/>
              <w:ind w:firstLine="0" w:firstLineChars="0"/>
              <w:rPr>
                <w:sz w:val="18"/>
                <w:szCs w:val="18"/>
                <w:lang w:bidi="ar"/>
              </w:rPr>
            </w:pPr>
          </w:p>
        </w:tc>
      </w:tr>
      <w:tr w14:paraId="05EF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vAlign w:val="center"/>
          </w:tcPr>
          <w:p w14:paraId="6F296167">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22</w:t>
            </w:r>
          </w:p>
        </w:tc>
        <w:tc>
          <w:tcPr>
            <w:tcW w:w="6098" w:type="dxa"/>
            <w:vAlign w:val="center"/>
          </w:tcPr>
          <w:p w14:paraId="42616D08">
            <w:pPr>
              <w:pStyle w:val="57"/>
              <w:spacing w:line="0" w:lineRule="atLeast"/>
              <w:ind w:firstLine="0" w:firstLineChars="0"/>
              <w:rPr>
                <w:sz w:val="18"/>
                <w:szCs w:val="18"/>
                <w:lang w:bidi="ar"/>
              </w:rPr>
            </w:pPr>
            <w:r>
              <w:rPr>
                <w:rFonts w:hint="eastAsia"/>
                <w:sz w:val="18"/>
                <w:szCs w:val="18"/>
              </w:rPr>
              <w:t>公司名称和LOGO应完成第35类商标注册。</w:t>
            </w:r>
          </w:p>
        </w:tc>
        <w:tc>
          <w:tcPr>
            <w:tcW w:w="592" w:type="dxa"/>
            <w:vAlign w:val="center"/>
          </w:tcPr>
          <w:p w14:paraId="7B03E2B7">
            <w:pPr>
              <w:pStyle w:val="57"/>
              <w:ind w:firstLine="0" w:firstLineChars="0"/>
              <w:jc w:val="center"/>
              <w:rPr>
                <w:lang w:bidi="ar"/>
              </w:rPr>
            </w:pPr>
            <w:r>
              <w:rPr>
                <w:rFonts w:hint="eastAsia"/>
                <w:lang w:bidi="ar"/>
              </w:rPr>
              <w:t>0.5</w:t>
            </w:r>
          </w:p>
        </w:tc>
        <w:tc>
          <w:tcPr>
            <w:tcW w:w="2520" w:type="dxa"/>
          </w:tcPr>
          <w:p w14:paraId="79B781F7">
            <w:pPr>
              <w:pStyle w:val="57"/>
              <w:ind w:firstLine="0" w:firstLineChars="0"/>
              <w:jc w:val="left"/>
              <w:rPr>
                <w:sz w:val="18"/>
                <w:szCs w:val="18"/>
                <w:lang w:bidi="ar"/>
              </w:rPr>
            </w:pPr>
            <w:r>
              <w:rPr>
                <w:rFonts w:hint="eastAsia"/>
                <w:sz w:val="18"/>
                <w:szCs w:val="18"/>
              </w:rPr>
              <w:t>满足得0.5分。</w:t>
            </w:r>
          </w:p>
        </w:tc>
        <w:tc>
          <w:tcPr>
            <w:tcW w:w="660" w:type="dxa"/>
          </w:tcPr>
          <w:p w14:paraId="3CEF4D7D">
            <w:pPr>
              <w:pStyle w:val="57"/>
              <w:ind w:firstLine="0" w:firstLineChars="0"/>
              <w:rPr>
                <w:sz w:val="18"/>
                <w:szCs w:val="18"/>
                <w:lang w:bidi="ar"/>
              </w:rPr>
            </w:pPr>
          </w:p>
        </w:tc>
      </w:tr>
      <w:tr w14:paraId="3526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60" w:type="dxa"/>
            <w:vAlign w:val="center"/>
          </w:tcPr>
          <w:p w14:paraId="7F22F1D9">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23</w:t>
            </w:r>
          </w:p>
        </w:tc>
        <w:tc>
          <w:tcPr>
            <w:tcW w:w="6098" w:type="dxa"/>
            <w:vAlign w:val="center"/>
          </w:tcPr>
          <w:p w14:paraId="5F1A36C6">
            <w:pPr>
              <w:pStyle w:val="57"/>
              <w:ind w:firstLine="0" w:firstLineChars="0"/>
              <w:rPr>
                <w:sz w:val="18"/>
                <w:szCs w:val="18"/>
                <w:lang w:bidi="ar"/>
              </w:rPr>
            </w:pPr>
            <w:r>
              <w:rPr>
                <w:rFonts w:hint="eastAsia"/>
                <w:sz w:val="18"/>
                <w:szCs w:val="18"/>
              </w:rPr>
              <w:t>开展多渠道公司宣传，应至少具有一种线上宣传渠道（如官网、微信、抖音、美团等）。</w:t>
            </w:r>
          </w:p>
        </w:tc>
        <w:tc>
          <w:tcPr>
            <w:tcW w:w="592" w:type="dxa"/>
            <w:vAlign w:val="center"/>
          </w:tcPr>
          <w:p w14:paraId="052C797F">
            <w:pPr>
              <w:pStyle w:val="57"/>
              <w:ind w:firstLine="0" w:firstLineChars="0"/>
              <w:jc w:val="center"/>
              <w:rPr>
                <w:lang w:bidi="ar"/>
              </w:rPr>
            </w:pPr>
            <w:r>
              <w:rPr>
                <w:rFonts w:hint="eastAsia"/>
                <w:lang w:bidi="ar"/>
              </w:rPr>
              <w:t>0.5</w:t>
            </w:r>
          </w:p>
        </w:tc>
        <w:tc>
          <w:tcPr>
            <w:tcW w:w="2520" w:type="dxa"/>
            <w:vAlign w:val="center"/>
          </w:tcPr>
          <w:p w14:paraId="6EFB7411">
            <w:pPr>
              <w:pStyle w:val="57"/>
              <w:ind w:firstLine="0" w:firstLineChars="0"/>
              <w:jc w:val="left"/>
              <w:rPr>
                <w:rFonts w:hint="eastAsia"/>
                <w:spacing w:val="-11"/>
                <w:sz w:val="18"/>
                <w:szCs w:val="18"/>
                <w:lang w:bidi="ar"/>
              </w:rPr>
            </w:pPr>
            <w:r>
              <w:rPr>
                <w:rFonts w:hint="eastAsia"/>
                <w:spacing w:val="-11"/>
                <w:sz w:val="18"/>
                <w:szCs w:val="18"/>
                <w:lang w:bidi="ar"/>
              </w:rPr>
              <w:t>每具有一项得0.2分，最高0.5分。</w:t>
            </w:r>
          </w:p>
        </w:tc>
        <w:tc>
          <w:tcPr>
            <w:tcW w:w="660" w:type="dxa"/>
          </w:tcPr>
          <w:p w14:paraId="383A6A51">
            <w:pPr>
              <w:pStyle w:val="57"/>
              <w:ind w:firstLine="0" w:firstLineChars="0"/>
              <w:rPr>
                <w:sz w:val="18"/>
                <w:szCs w:val="18"/>
                <w:lang w:bidi="ar"/>
              </w:rPr>
            </w:pPr>
          </w:p>
        </w:tc>
      </w:tr>
      <w:tr w14:paraId="6B61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58" w:type="dxa"/>
            <w:gridSpan w:val="2"/>
            <w:vAlign w:val="center"/>
          </w:tcPr>
          <w:p w14:paraId="215C9885">
            <w:pPr>
              <w:pStyle w:val="57"/>
              <w:ind w:firstLine="0" w:firstLineChars="0"/>
              <w:jc w:val="center"/>
              <w:rPr>
                <w:rFonts w:ascii="黑体" w:hAnsi="黑体" w:eastAsia="黑体"/>
                <w:sz w:val="18"/>
                <w:szCs w:val="18"/>
                <w:lang w:bidi="ar"/>
              </w:rPr>
            </w:pPr>
            <w:r>
              <w:rPr>
                <w:rFonts w:hint="eastAsia" w:ascii="黑体" w:hAnsi="黑体" w:eastAsia="黑体" w:cs="宋体"/>
                <w:sz w:val="18"/>
                <w:szCs w:val="18"/>
              </w:rPr>
              <w:t>指标总分</w:t>
            </w:r>
          </w:p>
        </w:tc>
        <w:tc>
          <w:tcPr>
            <w:tcW w:w="592" w:type="dxa"/>
            <w:vAlign w:val="center"/>
          </w:tcPr>
          <w:p w14:paraId="164A5F5E">
            <w:pPr>
              <w:pStyle w:val="57"/>
              <w:ind w:firstLine="0" w:firstLineChars="0"/>
              <w:jc w:val="center"/>
              <w:rPr>
                <w:sz w:val="18"/>
                <w:szCs w:val="18"/>
                <w:lang w:bidi="ar"/>
              </w:rPr>
            </w:pPr>
            <w:r>
              <w:rPr>
                <w:rFonts w:hint="eastAsia"/>
                <w:sz w:val="18"/>
                <w:szCs w:val="18"/>
                <w:lang w:bidi="ar"/>
              </w:rPr>
              <w:t>30</w:t>
            </w:r>
          </w:p>
        </w:tc>
        <w:tc>
          <w:tcPr>
            <w:tcW w:w="2520" w:type="dxa"/>
            <w:vAlign w:val="center"/>
          </w:tcPr>
          <w:p w14:paraId="65A076D2">
            <w:pPr>
              <w:pStyle w:val="57"/>
              <w:ind w:firstLine="0" w:firstLineChars="0"/>
              <w:jc w:val="center"/>
              <w:rPr>
                <w:sz w:val="18"/>
                <w:szCs w:val="18"/>
                <w:lang w:bidi="ar"/>
              </w:rPr>
            </w:pPr>
            <w:r>
              <w:rPr>
                <w:rFonts w:hint="eastAsia" w:hAnsi="宋体" w:cs="宋体"/>
                <w:sz w:val="18"/>
                <w:szCs w:val="18"/>
                <w:lang w:bidi="ar"/>
              </w:rPr>
              <w:t>评定总分</w:t>
            </w:r>
          </w:p>
        </w:tc>
        <w:tc>
          <w:tcPr>
            <w:tcW w:w="660" w:type="dxa"/>
          </w:tcPr>
          <w:p w14:paraId="7D83EE95">
            <w:pPr>
              <w:pStyle w:val="57"/>
              <w:ind w:firstLine="0" w:firstLineChars="0"/>
              <w:rPr>
                <w:lang w:bidi="ar"/>
              </w:rPr>
            </w:pPr>
          </w:p>
        </w:tc>
      </w:tr>
    </w:tbl>
    <w:p w14:paraId="64443DEE">
      <w:pPr>
        <w:pStyle w:val="78"/>
        <w:numPr>
          <w:ilvl w:val="1"/>
          <w:numId w:val="0"/>
        </w:numPr>
        <w:spacing w:before="120" w:after="120"/>
        <w:jc w:val="center"/>
        <w:rPr>
          <w:highlight w:val="none"/>
          <w:lang w:bidi="ar"/>
        </w:rPr>
      </w:pPr>
      <w:r>
        <w:rPr>
          <w:rFonts w:hint="eastAsia" w:ascii="宋体" w:eastAsia="宋体"/>
          <w:b/>
          <w:bCs/>
          <w:kern w:val="0"/>
          <w:highlight w:val="none"/>
        </w:rPr>
        <w:t>表B.3游泳池（馆）运营管理服务服务质量的服务保障评分表</w:t>
      </w:r>
    </w:p>
    <w:tbl>
      <w:tblPr>
        <w:tblStyle w:val="28"/>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5953"/>
        <w:gridCol w:w="709"/>
        <w:gridCol w:w="2126"/>
        <w:gridCol w:w="709"/>
      </w:tblGrid>
      <w:tr w14:paraId="5BB2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A53EC2B">
            <w:pPr>
              <w:pStyle w:val="57"/>
              <w:ind w:firstLine="0" w:firstLineChars="0"/>
              <w:jc w:val="center"/>
              <w:rPr>
                <w:sz w:val="18"/>
                <w:szCs w:val="18"/>
                <w:lang w:bidi="ar"/>
              </w:rPr>
            </w:pPr>
            <w:r>
              <w:rPr>
                <w:rFonts w:hint="eastAsia"/>
                <w:sz w:val="18"/>
                <w:szCs w:val="18"/>
                <w:lang w:bidi="ar"/>
              </w:rPr>
              <w:t>序号</w:t>
            </w:r>
          </w:p>
        </w:tc>
        <w:tc>
          <w:tcPr>
            <w:tcW w:w="5953" w:type="dxa"/>
            <w:vAlign w:val="center"/>
          </w:tcPr>
          <w:p w14:paraId="3A2B8E8B">
            <w:pPr>
              <w:pStyle w:val="57"/>
              <w:ind w:firstLine="0" w:firstLineChars="0"/>
              <w:jc w:val="center"/>
              <w:rPr>
                <w:sz w:val="18"/>
                <w:szCs w:val="18"/>
                <w:lang w:bidi="ar"/>
              </w:rPr>
            </w:pPr>
            <w:r>
              <w:rPr>
                <w:rFonts w:hint="eastAsia" w:hAnsi="宋体" w:cs="宋体"/>
                <w:sz w:val="18"/>
                <w:szCs w:val="18"/>
                <w:lang w:bidi="ar"/>
              </w:rPr>
              <w:t>指标</w:t>
            </w:r>
          </w:p>
        </w:tc>
        <w:tc>
          <w:tcPr>
            <w:tcW w:w="709" w:type="dxa"/>
            <w:vAlign w:val="center"/>
          </w:tcPr>
          <w:p w14:paraId="163A53C8">
            <w:pPr>
              <w:pStyle w:val="57"/>
              <w:ind w:firstLine="0" w:firstLineChars="0"/>
              <w:jc w:val="center"/>
              <w:rPr>
                <w:sz w:val="18"/>
                <w:szCs w:val="18"/>
                <w:lang w:bidi="ar"/>
              </w:rPr>
            </w:pPr>
            <w:r>
              <w:rPr>
                <w:rFonts w:hint="eastAsia" w:hAnsi="宋体" w:cs="宋体"/>
                <w:sz w:val="18"/>
                <w:szCs w:val="18"/>
              </w:rPr>
              <w:t>指标分值</w:t>
            </w:r>
          </w:p>
        </w:tc>
        <w:tc>
          <w:tcPr>
            <w:tcW w:w="2126" w:type="dxa"/>
            <w:vAlign w:val="center"/>
          </w:tcPr>
          <w:p w14:paraId="03D2A1F3">
            <w:pPr>
              <w:pStyle w:val="57"/>
              <w:ind w:firstLine="0" w:firstLineChars="0"/>
              <w:jc w:val="center"/>
              <w:rPr>
                <w:sz w:val="18"/>
                <w:szCs w:val="18"/>
                <w:lang w:bidi="ar"/>
              </w:rPr>
            </w:pPr>
            <w:r>
              <w:rPr>
                <w:rFonts w:hint="eastAsia" w:hAnsi="宋体" w:cs="宋体"/>
                <w:sz w:val="18"/>
                <w:szCs w:val="18"/>
                <w:lang w:bidi="ar"/>
              </w:rPr>
              <w:t>评定办法</w:t>
            </w:r>
          </w:p>
        </w:tc>
        <w:tc>
          <w:tcPr>
            <w:tcW w:w="709" w:type="dxa"/>
            <w:vAlign w:val="center"/>
          </w:tcPr>
          <w:p w14:paraId="0221F53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评定</w:t>
            </w:r>
          </w:p>
          <w:p w14:paraId="3D16AC7B">
            <w:pPr>
              <w:pStyle w:val="57"/>
              <w:ind w:firstLine="0" w:firstLineChars="0"/>
              <w:jc w:val="center"/>
              <w:rPr>
                <w:sz w:val="18"/>
                <w:szCs w:val="18"/>
                <w:lang w:bidi="ar"/>
              </w:rPr>
            </w:pPr>
            <w:r>
              <w:rPr>
                <w:rFonts w:hint="eastAsia" w:hAnsi="宋体" w:cs="宋体"/>
                <w:sz w:val="18"/>
                <w:szCs w:val="18"/>
                <w:lang w:bidi="ar"/>
              </w:rPr>
              <w:t>得分</w:t>
            </w:r>
          </w:p>
        </w:tc>
      </w:tr>
      <w:tr w14:paraId="4968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B40E83E">
            <w:pPr>
              <w:pStyle w:val="57"/>
              <w:ind w:firstLine="0" w:firstLineChars="0"/>
              <w:jc w:val="center"/>
              <w:rPr>
                <w:sz w:val="18"/>
                <w:szCs w:val="18"/>
                <w:lang w:bidi="ar"/>
              </w:rPr>
            </w:pPr>
            <w:r>
              <w:rPr>
                <w:rFonts w:hint="eastAsia"/>
                <w:sz w:val="18"/>
                <w:szCs w:val="18"/>
                <w:lang w:bidi="ar"/>
              </w:rPr>
              <w:t>1</w:t>
            </w:r>
          </w:p>
        </w:tc>
        <w:tc>
          <w:tcPr>
            <w:tcW w:w="5953" w:type="dxa"/>
            <w:shd w:val="clear" w:color="auto" w:fill="auto"/>
            <w:vAlign w:val="center"/>
          </w:tcPr>
          <w:p w14:paraId="72DFF9B3">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建立会员档案，包括会员体质监测数据、为会员提供运动风险评估等。</w:t>
            </w:r>
          </w:p>
        </w:tc>
        <w:tc>
          <w:tcPr>
            <w:tcW w:w="709" w:type="dxa"/>
            <w:shd w:val="clear" w:color="auto" w:fill="auto"/>
            <w:vAlign w:val="center"/>
          </w:tcPr>
          <w:p w14:paraId="07C63C8A">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126" w:type="dxa"/>
            <w:shd w:val="clear" w:color="auto" w:fill="auto"/>
            <w:vAlign w:val="center"/>
          </w:tcPr>
          <w:p w14:paraId="3F7DD7E9">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满足并提供证明材料得2分。</w:t>
            </w:r>
          </w:p>
        </w:tc>
        <w:tc>
          <w:tcPr>
            <w:tcW w:w="709" w:type="dxa"/>
            <w:vAlign w:val="center"/>
          </w:tcPr>
          <w:p w14:paraId="3B5D9CCE">
            <w:pPr>
              <w:pStyle w:val="57"/>
              <w:ind w:firstLine="0" w:firstLineChars="0"/>
              <w:jc w:val="center"/>
              <w:rPr>
                <w:rFonts w:hAnsi="宋体" w:cs="宋体"/>
                <w:sz w:val="18"/>
                <w:szCs w:val="18"/>
                <w:lang w:bidi="ar"/>
              </w:rPr>
            </w:pPr>
          </w:p>
        </w:tc>
      </w:tr>
      <w:tr w14:paraId="4BDE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10" w:type="dxa"/>
            <w:vAlign w:val="center"/>
          </w:tcPr>
          <w:p w14:paraId="78533DEE">
            <w:pPr>
              <w:pStyle w:val="57"/>
              <w:ind w:firstLine="0" w:firstLineChars="0"/>
              <w:jc w:val="center"/>
              <w:rPr>
                <w:sz w:val="18"/>
                <w:szCs w:val="18"/>
                <w:lang w:bidi="ar"/>
              </w:rPr>
            </w:pPr>
            <w:r>
              <w:rPr>
                <w:rFonts w:hint="eastAsia"/>
                <w:sz w:val="18"/>
                <w:szCs w:val="18"/>
                <w:lang w:bidi="ar"/>
              </w:rPr>
              <w:t>2</w:t>
            </w:r>
          </w:p>
        </w:tc>
        <w:tc>
          <w:tcPr>
            <w:tcW w:w="5953" w:type="dxa"/>
            <w:shd w:val="clear" w:color="auto" w:fill="auto"/>
            <w:vAlign w:val="center"/>
          </w:tcPr>
          <w:p w14:paraId="20C70D0A">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提供会员物品存储服务,设置一定数量的会员柜。</w:t>
            </w:r>
          </w:p>
        </w:tc>
        <w:tc>
          <w:tcPr>
            <w:tcW w:w="709" w:type="dxa"/>
            <w:shd w:val="clear" w:color="auto" w:fill="auto"/>
            <w:vAlign w:val="center"/>
          </w:tcPr>
          <w:p w14:paraId="00E324F8">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126" w:type="dxa"/>
            <w:shd w:val="clear" w:color="auto" w:fill="auto"/>
            <w:vAlign w:val="center"/>
          </w:tcPr>
          <w:p w14:paraId="10119E31">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满足得1分。</w:t>
            </w:r>
          </w:p>
        </w:tc>
        <w:tc>
          <w:tcPr>
            <w:tcW w:w="709" w:type="dxa"/>
            <w:vAlign w:val="center"/>
          </w:tcPr>
          <w:p w14:paraId="5DC7662E">
            <w:pPr>
              <w:pStyle w:val="57"/>
              <w:ind w:firstLine="0" w:firstLineChars="0"/>
              <w:jc w:val="center"/>
              <w:rPr>
                <w:rFonts w:hAnsi="宋体" w:cs="宋体"/>
                <w:sz w:val="18"/>
                <w:szCs w:val="18"/>
                <w:lang w:bidi="ar"/>
              </w:rPr>
            </w:pPr>
          </w:p>
        </w:tc>
      </w:tr>
      <w:tr w14:paraId="52D9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4EA8899">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3</w:t>
            </w:r>
          </w:p>
        </w:tc>
        <w:tc>
          <w:tcPr>
            <w:tcW w:w="5953" w:type="dxa"/>
            <w:shd w:val="clear" w:color="auto" w:fill="auto"/>
            <w:vAlign w:val="center"/>
          </w:tcPr>
          <w:p w14:paraId="43291CAA">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提供吹风机、洗护用品等配套用品。</w:t>
            </w:r>
          </w:p>
        </w:tc>
        <w:tc>
          <w:tcPr>
            <w:tcW w:w="709" w:type="dxa"/>
            <w:shd w:val="clear" w:color="auto" w:fill="auto"/>
            <w:vAlign w:val="center"/>
          </w:tcPr>
          <w:p w14:paraId="22846F4A">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0.5</w:t>
            </w:r>
          </w:p>
        </w:tc>
        <w:tc>
          <w:tcPr>
            <w:tcW w:w="2126" w:type="dxa"/>
            <w:shd w:val="clear" w:color="auto" w:fill="auto"/>
            <w:vAlign w:val="center"/>
          </w:tcPr>
          <w:p w14:paraId="0717BBAC">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满足得0.5分。</w:t>
            </w:r>
          </w:p>
        </w:tc>
        <w:tc>
          <w:tcPr>
            <w:tcW w:w="709" w:type="dxa"/>
          </w:tcPr>
          <w:p w14:paraId="4AC7C193">
            <w:pPr>
              <w:pStyle w:val="57"/>
              <w:ind w:firstLine="0" w:firstLineChars="0"/>
              <w:rPr>
                <w:sz w:val="18"/>
                <w:szCs w:val="18"/>
                <w:lang w:bidi="ar"/>
              </w:rPr>
            </w:pPr>
          </w:p>
        </w:tc>
      </w:tr>
      <w:tr w14:paraId="68CF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0EA1C63">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4</w:t>
            </w:r>
          </w:p>
        </w:tc>
        <w:tc>
          <w:tcPr>
            <w:tcW w:w="5953" w:type="dxa"/>
            <w:shd w:val="clear" w:color="auto" w:fill="auto"/>
            <w:vAlign w:val="center"/>
          </w:tcPr>
          <w:p w14:paraId="484D5819">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会员卡类别设置合理，定价科学，符合地方消费水平。</w:t>
            </w:r>
          </w:p>
        </w:tc>
        <w:tc>
          <w:tcPr>
            <w:tcW w:w="709" w:type="dxa"/>
            <w:shd w:val="clear" w:color="auto" w:fill="auto"/>
            <w:vAlign w:val="center"/>
          </w:tcPr>
          <w:p w14:paraId="369B8A20">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126" w:type="dxa"/>
            <w:shd w:val="clear" w:color="auto" w:fill="auto"/>
            <w:vAlign w:val="center"/>
          </w:tcPr>
          <w:p w14:paraId="39B79B55">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卡类设置合理0.5分，定价科学0.5分，符合地方消费水平0.5分，最高得1.5分。</w:t>
            </w:r>
          </w:p>
        </w:tc>
        <w:tc>
          <w:tcPr>
            <w:tcW w:w="709" w:type="dxa"/>
          </w:tcPr>
          <w:p w14:paraId="16744221">
            <w:pPr>
              <w:pStyle w:val="57"/>
              <w:ind w:firstLine="0" w:firstLineChars="0"/>
              <w:rPr>
                <w:sz w:val="18"/>
                <w:szCs w:val="18"/>
                <w:lang w:bidi="ar"/>
              </w:rPr>
            </w:pPr>
          </w:p>
        </w:tc>
      </w:tr>
      <w:tr w14:paraId="5AD1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371183BF">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5</w:t>
            </w:r>
          </w:p>
        </w:tc>
        <w:tc>
          <w:tcPr>
            <w:tcW w:w="5953" w:type="dxa"/>
            <w:shd w:val="clear" w:color="auto" w:fill="auto"/>
            <w:vAlign w:val="center"/>
          </w:tcPr>
          <w:p w14:paraId="2346D3D8">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智慧化服务，具备会员手环识别、游泳预约、运动方案查询、体质数据管理、手机支付等功能。</w:t>
            </w:r>
          </w:p>
        </w:tc>
        <w:tc>
          <w:tcPr>
            <w:tcW w:w="709" w:type="dxa"/>
            <w:shd w:val="clear" w:color="auto" w:fill="auto"/>
            <w:vAlign w:val="center"/>
          </w:tcPr>
          <w:p w14:paraId="7FFDDCC5">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126" w:type="dxa"/>
            <w:shd w:val="clear" w:color="auto" w:fill="auto"/>
            <w:vAlign w:val="center"/>
          </w:tcPr>
          <w:p w14:paraId="48CE78A4">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具备1项0.5分，最高得分2分。</w:t>
            </w:r>
          </w:p>
        </w:tc>
        <w:tc>
          <w:tcPr>
            <w:tcW w:w="709" w:type="dxa"/>
          </w:tcPr>
          <w:p w14:paraId="3B6C536E">
            <w:pPr>
              <w:pStyle w:val="57"/>
              <w:ind w:firstLine="0" w:firstLineChars="0"/>
              <w:rPr>
                <w:sz w:val="18"/>
                <w:szCs w:val="18"/>
                <w:lang w:bidi="ar"/>
              </w:rPr>
            </w:pPr>
          </w:p>
        </w:tc>
      </w:tr>
      <w:tr w14:paraId="5835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46BBE14">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6</w:t>
            </w:r>
          </w:p>
        </w:tc>
        <w:tc>
          <w:tcPr>
            <w:tcW w:w="5953" w:type="dxa"/>
            <w:shd w:val="clear" w:color="auto" w:fill="auto"/>
            <w:vAlign w:val="center"/>
          </w:tcPr>
          <w:p w14:paraId="2297E57F">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智慧化服务全覆盖，智慧化服务部分覆盖。</w:t>
            </w:r>
          </w:p>
        </w:tc>
        <w:tc>
          <w:tcPr>
            <w:tcW w:w="709" w:type="dxa"/>
            <w:shd w:val="clear" w:color="auto" w:fill="auto"/>
            <w:vAlign w:val="center"/>
          </w:tcPr>
          <w:p w14:paraId="3B4A3DB5">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126" w:type="dxa"/>
            <w:shd w:val="clear" w:color="auto" w:fill="auto"/>
            <w:vAlign w:val="center"/>
          </w:tcPr>
          <w:p w14:paraId="5FF84CD3">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全覆盖1分，部分覆盖0.6分。</w:t>
            </w:r>
          </w:p>
        </w:tc>
        <w:tc>
          <w:tcPr>
            <w:tcW w:w="709" w:type="dxa"/>
          </w:tcPr>
          <w:p w14:paraId="6D730E39">
            <w:pPr>
              <w:pStyle w:val="57"/>
              <w:ind w:firstLine="0" w:firstLineChars="0"/>
              <w:rPr>
                <w:sz w:val="18"/>
                <w:szCs w:val="18"/>
                <w:lang w:bidi="ar"/>
              </w:rPr>
            </w:pPr>
          </w:p>
        </w:tc>
      </w:tr>
      <w:tr w14:paraId="3110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57AB41E">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7</w:t>
            </w:r>
          </w:p>
        </w:tc>
        <w:tc>
          <w:tcPr>
            <w:tcW w:w="5953" w:type="dxa"/>
            <w:shd w:val="clear" w:color="auto" w:fill="auto"/>
            <w:vAlign w:val="center"/>
          </w:tcPr>
          <w:p w14:paraId="06ED5234">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设置有儿童区、关爱人群区、自动贩售机等配套服务。</w:t>
            </w:r>
          </w:p>
        </w:tc>
        <w:tc>
          <w:tcPr>
            <w:tcW w:w="709" w:type="dxa"/>
            <w:shd w:val="clear" w:color="auto" w:fill="auto"/>
            <w:vAlign w:val="center"/>
          </w:tcPr>
          <w:p w14:paraId="2FE2E0E0">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126" w:type="dxa"/>
            <w:shd w:val="clear" w:color="auto" w:fill="auto"/>
            <w:vAlign w:val="center"/>
          </w:tcPr>
          <w:p w14:paraId="3BE4F015">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每1种服务得0.3 分，最高得1分。</w:t>
            </w:r>
          </w:p>
        </w:tc>
        <w:tc>
          <w:tcPr>
            <w:tcW w:w="709" w:type="dxa"/>
          </w:tcPr>
          <w:p w14:paraId="2946CA98">
            <w:pPr>
              <w:pStyle w:val="57"/>
              <w:ind w:firstLine="0" w:firstLineChars="0"/>
              <w:rPr>
                <w:sz w:val="18"/>
                <w:szCs w:val="18"/>
                <w:lang w:bidi="ar"/>
              </w:rPr>
            </w:pPr>
          </w:p>
        </w:tc>
      </w:tr>
      <w:tr w14:paraId="0D9B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17B7D40">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8</w:t>
            </w:r>
          </w:p>
        </w:tc>
        <w:tc>
          <w:tcPr>
            <w:tcW w:w="5953" w:type="dxa"/>
            <w:shd w:val="clear" w:color="auto" w:fill="auto"/>
            <w:vAlign w:val="center"/>
          </w:tcPr>
          <w:p w14:paraId="7B423835">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提供休闲休息服务，包括休息沙发座椅、免费直饮水、网络等。</w:t>
            </w:r>
          </w:p>
        </w:tc>
        <w:tc>
          <w:tcPr>
            <w:tcW w:w="709" w:type="dxa"/>
            <w:shd w:val="clear" w:color="auto" w:fill="auto"/>
            <w:vAlign w:val="center"/>
          </w:tcPr>
          <w:p w14:paraId="39EAA910">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2126" w:type="dxa"/>
            <w:shd w:val="clear" w:color="auto" w:fill="auto"/>
            <w:vAlign w:val="center"/>
          </w:tcPr>
          <w:p w14:paraId="412A3C0A">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每1种服务得0.3分，最高得1分。</w:t>
            </w:r>
          </w:p>
        </w:tc>
        <w:tc>
          <w:tcPr>
            <w:tcW w:w="709" w:type="dxa"/>
          </w:tcPr>
          <w:p w14:paraId="0897B703">
            <w:pPr>
              <w:pStyle w:val="57"/>
              <w:ind w:firstLine="0" w:firstLineChars="0"/>
              <w:rPr>
                <w:sz w:val="18"/>
                <w:szCs w:val="18"/>
                <w:lang w:bidi="ar"/>
              </w:rPr>
            </w:pPr>
          </w:p>
        </w:tc>
      </w:tr>
      <w:tr w14:paraId="750B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C557A7A">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9</w:t>
            </w:r>
          </w:p>
        </w:tc>
        <w:tc>
          <w:tcPr>
            <w:tcW w:w="5953" w:type="dxa"/>
            <w:shd w:val="clear" w:color="auto" w:fill="auto"/>
            <w:vAlign w:val="center"/>
          </w:tcPr>
          <w:p w14:paraId="0A2468C2">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提供游泳健身指导、运动处方、体质检测、运动风险评估、运动康复、医疗救助、营养膳食指导等服务。</w:t>
            </w:r>
          </w:p>
        </w:tc>
        <w:tc>
          <w:tcPr>
            <w:tcW w:w="709" w:type="dxa"/>
            <w:shd w:val="clear" w:color="auto" w:fill="auto"/>
            <w:vAlign w:val="center"/>
          </w:tcPr>
          <w:p w14:paraId="1FA02DCA">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126" w:type="dxa"/>
            <w:shd w:val="clear" w:color="auto" w:fill="auto"/>
            <w:vAlign w:val="center"/>
          </w:tcPr>
          <w:p w14:paraId="7E714FC5">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每1种服务得0.5分，最高得 2分。</w:t>
            </w:r>
          </w:p>
        </w:tc>
        <w:tc>
          <w:tcPr>
            <w:tcW w:w="709" w:type="dxa"/>
          </w:tcPr>
          <w:p w14:paraId="65096BE1">
            <w:pPr>
              <w:pStyle w:val="57"/>
              <w:ind w:firstLine="0" w:firstLineChars="0"/>
              <w:rPr>
                <w:sz w:val="18"/>
                <w:szCs w:val="18"/>
                <w:lang w:bidi="ar"/>
              </w:rPr>
            </w:pPr>
          </w:p>
        </w:tc>
      </w:tr>
      <w:tr w14:paraId="5E8B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9A652CC">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10</w:t>
            </w:r>
          </w:p>
        </w:tc>
        <w:tc>
          <w:tcPr>
            <w:tcW w:w="5953" w:type="dxa"/>
            <w:shd w:val="clear" w:color="auto" w:fill="auto"/>
            <w:vAlign w:val="center"/>
          </w:tcPr>
          <w:p w14:paraId="55B34148">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营业时间内教练员在场且无私教或团课教程安排，提供巡场服务。</w:t>
            </w:r>
          </w:p>
        </w:tc>
        <w:tc>
          <w:tcPr>
            <w:tcW w:w="709" w:type="dxa"/>
            <w:shd w:val="clear" w:color="auto" w:fill="auto"/>
            <w:vAlign w:val="center"/>
          </w:tcPr>
          <w:p w14:paraId="0D72096C">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126" w:type="dxa"/>
            <w:shd w:val="clear" w:color="auto" w:fill="auto"/>
            <w:vAlign w:val="center"/>
          </w:tcPr>
          <w:p w14:paraId="0F32A113">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每1个教练员得0.3分，最高得1.5分。</w:t>
            </w:r>
          </w:p>
        </w:tc>
        <w:tc>
          <w:tcPr>
            <w:tcW w:w="709" w:type="dxa"/>
          </w:tcPr>
          <w:p w14:paraId="169C9711">
            <w:pPr>
              <w:pStyle w:val="57"/>
              <w:ind w:firstLine="0" w:firstLineChars="0"/>
              <w:rPr>
                <w:sz w:val="18"/>
                <w:szCs w:val="18"/>
                <w:lang w:bidi="ar"/>
              </w:rPr>
            </w:pPr>
          </w:p>
        </w:tc>
      </w:tr>
      <w:tr w14:paraId="5783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ABCA0FD">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11</w:t>
            </w:r>
          </w:p>
        </w:tc>
        <w:tc>
          <w:tcPr>
            <w:tcW w:w="5953" w:type="dxa"/>
            <w:shd w:val="clear" w:color="auto" w:fill="auto"/>
            <w:vAlign w:val="center"/>
          </w:tcPr>
          <w:p w14:paraId="4BDE4490">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开放时间，全年对外公示营业开放时间天数。</w:t>
            </w:r>
          </w:p>
        </w:tc>
        <w:tc>
          <w:tcPr>
            <w:tcW w:w="709" w:type="dxa"/>
            <w:shd w:val="clear" w:color="auto" w:fill="auto"/>
            <w:vAlign w:val="center"/>
          </w:tcPr>
          <w:p w14:paraId="774443BD">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2</w:t>
            </w:r>
          </w:p>
        </w:tc>
        <w:tc>
          <w:tcPr>
            <w:tcW w:w="2126" w:type="dxa"/>
            <w:shd w:val="clear" w:color="auto" w:fill="auto"/>
            <w:vAlign w:val="center"/>
          </w:tcPr>
          <w:p w14:paraId="114D87CD">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全年开放时间≥330d得1分，330d&gt;全年开放时间≥300d得0.6分；营业时长,每日对外公示的营业时长，每日营业时间≥14h得1分，14h&gt;每日营业时间≥12h得0.6分。最高得分2分。</w:t>
            </w:r>
          </w:p>
        </w:tc>
        <w:tc>
          <w:tcPr>
            <w:tcW w:w="709" w:type="dxa"/>
          </w:tcPr>
          <w:p w14:paraId="4D069476">
            <w:pPr>
              <w:pStyle w:val="57"/>
              <w:ind w:firstLine="0" w:firstLineChars="0"/>
              <w:rPr>
                <w:sz w:val="18"/>
                <w:szCs w:val="18"/>
                <w:lang w:bidi="ar"/>
              </w:rPr>
            </w:pPr>
          </w:p>
        </w:tc>
      </w:tr>
      <w:tr w14:paraId="17F9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96A0059">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12</w:t>
            </w:r>
          </w:p>
        </w:tc>
        <w:tc>
          <w:tcPr>
            <w:tcW w:w="5953" w:type="dxa"/>
            <w:shd w:val="clear" w:color="auto" w:fill="auto"/>
            <w:vAlign w:val="center"/>
          </w:tcPr>
          <w:p w14:paraId="68DA5213">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服务评价内容至少包括服务项目、服务质量、服务人员、服务满意度等，服务评价的工作记录完整并归档</w:t>
            </w:r>
          </w:p>
        </w:tc>
        <w:tc>
          <w:tcPr>
            <w:tcW w:w="709" w:type="dxa"/>
            <w:shd w:val="clear" w:color="auto" w:fill="auto"/>
            <w:vAlign w:val="center"/>
          </w:tcPr>
          <w:p w14:paraId="3832D3F5">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126" w:type="dxa"/>
            <w:shd w:val="clear" w:color="auto" w:fill="auto"/>
            <w:vAlign w:val="center"/>
          </w:tcPr>
          <w:p w14:paraId="70D7B89D">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每项得0.5分，最高得1分。</w:t>
            </w:r>
          </w:p>
        </w:tc>
        <w:tc>
          <w:tcPr>
            <w:tcW w:w="709" w:type="dxa"/>
          </w:tcPr>
          <w:p w14:paraId="6C33AD4D">
            <w:pPr>
              <w:pStyle w:val="57"/>
              <w:ind w:firstLine="0" w:firstLineChars="0"/>
              <w:rPr>
                <w:sz w:val="18"/>
                <w:szCs w:val="18"/>
                <w:lang w:bidi="ar"/>
              </w:rPr>
            </w:pPr>
          </w:p>
        </w:tc>
      </w:tr>
      <w:tr w14:paraId="5498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4AF147D">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13</w:t>
            </w:r>
          </w:p>
        </w:tc>
        <w:tc>
          <w:tcPr>
            <w:tcW w:w="5953" w:type="dxa"/>
            <w:shd w:val="clear" w:color="auto" w:fill="auto"/>
            <w:vAlign w:val="center"/>
          </w:tcPr>
          <w:p w14:paraId="6F188EFE">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建有客户意见收集机制，通过意见簿、满意度测评、网上评论、第三方机构评估等形式进行意见收集。</w:t>
            </w:r>
          </w:p>
        </w:tc>
        <w:tc>
          <w:tcPr>
            <w:tcW w:w="709" w:type="dxa"/>
            <w:shd w:val="clear" w:color="auto" w:fill="auto"/>
            <w:vAlign w:val="center"/>
          </w:tcPr>
          <w:p w14:paraId="2460D9D5">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126" w:type="dxa"/>
            <w:shd w:val="clear" w:color="auto" w:fill="auto"/>
            <w:vAlign w:val="center"/>
          </w:tcPr>
          <w:p w14:paraId="2BE302CD">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具有一项得0.5分，最高得1分。</w:t>
            </w:r>
          </w:p>
        </w:tc>
        <w:tc>
          <w:tcPr>
            <w:tcW w:w="709" w:type="dxa"/>
          </w:tcPr>
          <w:p w14:paraId="2C5419B1">
            <w:pPr>
              <w:pStyle w:val="57"/>
              <w:ind w:firstLine="0" w:firstLineChars="0"/>
              <w:rPr>
                <w:sz w:val="18"/>
                <w:szCs w:val="18"/>
                <w:lang w:bidi="ar"/>
              </w:rPr>
            </w:pPr>
          </w:p>
        </w:tc>
      </w:tr>
      <w:tr w14:paraId="57D5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C12BB38">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14</w:t>
            </w:r>
          </w:p>
        </w:tc>
        <w:tc>
          <w:tcPr>
            <w:tcW w:w="5953" w:type="dxa"/>
            <w:shd w:val="clear" w:color="auto" w:fill="auto"/>
            <w:vAlign w:val="center"/>
          </w:tcPr>
          <w:p w14:paraId="45E281F9">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对现场客户数量的10%进行现场服务满意度随机抽样调查。</w:t>
            </w:r>
          </w:p>
        </w:tc>
        <w:tc>
          <w:tcPr>
            <w:tcW w:w="709" w:type="dxa"/>
            <w:shd w:val="clear" w:color="auto" w:fill="auto"/>
            <w:vAlign w:val="center"/>
          </w:tcPr>
          <w:p w14:paraId="7EF82639">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126" w:type="dxa"/>
            <w:shd w:val="clear" w:color="auto" w:fill="auto"/>
            <w:vAlign w:val="center"/>
          </w:tcPr>
          <w:p w14:paraId="5637457B">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满意度达80%及以上0.8分，满意度达90%及以上1分。</w:t>
            </w:r>
          </w:p>
        </w:tc>
        <w:tc>
          <w:tcPr>
            <w:tcW w:w="709" w:type="dxa"/>
          </w:tcPr>
          <w:p w14:paraId="0F387047">
            <w:pPr>
              <w:pStyle w:val="57"/>
              <w:ind w:firstLine="0" w:firstLineChars="0"/>
              <w:rPr>
                <w:sz w:val="18"/>
                <w:szCs w:val="18"/>
                <w:lang w:bidi="ar"/>
              </w:rPr>
            </w:pPr>
          </w:p>
        </w:tc>
      </w:tr>
      <w:tr w14:paraId="0559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7A4F417">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15</w:t>
            </w:r>
          </w:p>
        </w:tc>
        <w:tc>
          <w:tcPr>
            <w:tcW w:w="5953" w:type="dxa"/>
            <w:shd w:val="clear" w:color="auto" w:fill="auto"/>
            <w:vAlign w:val="center"/>
          </w:tcPr>
          <w:p w14:paraId="5E3D7CF8">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建立服务质量保持与持续改进机制、实施服务质量巡查巡检制度。对可能发生的服务不合格项，采取预防与改进措施；对已经发生的服务不合格项，及时采取纠正措施，以改进服务质量。</w:t>
            </w:r>
          </w:p>
        </w:tc>
        <w:tc>
          <w:tcPr>
            <w:tcW w:w="709" w:type="dxa"/>
            <w:shd w:val="clear" w:color="auto" w:fill="auto"/>
            <w:vAlign w:val="center"/>
          </w:tcPr>
          <w:p w14:paraId="4083685C">
            <w:pPr>
              <w:widowControl/>
              <w:adjustRightInd/>
              <w:spacing w:line="20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1.5</w:t>
            </w:r>
          </w:p>
        </w:tc>
        <w:tc>
          <w:tcPr>
            <w:tcW w:w="2126" w:type="dxa"/>
            <w:shd w:val="clear" w:color="auto" w:fill="auto"/>
            <w:vAlign w:val="center"/>
          </w:tcPr>
          <w:p w14:paraId="1B5867DD">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满足并提供相关材料得1.5分。</w:t>
            </w:r>
          </w:p>
        </w:tc>
        <w:tc>
          <w:tcPr>
            <w:tcW w:w="709" w:type="dxa"/>
          </w:tcPr>
          <w:p w14:paraId="7B9BBEC5">
            <w:pPr>
              <w:pStyle w:val="57"/>
              <w:ind w:firstLine="0" w:firstLineChars="0"/>
              <w:rPr>
                <w:sz w:val="18"/>
                <w:szCs w:val="18"/>
                <w:lang w:bidi="ar"/>
              </w:rPr>
            </w:pPr>
          </w:p>
        </w:tc>
      </w:tr>
      <w:tr w14:paraId="3C39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B6FEDB2">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16</w:t>
            </w:r>
          </w:p>
        </w:tc>
        <w:tc>
          <w:tcPr>
            <w:tcW w:w="5953" w:type="dxa"/>
            <w:shd w:val="clear" w:color="auto" w:fill="auto"/>
            <w:vAlign w:val="center"/>
          </w:tcPr>
          <w:p w14:paraId="1A723B0F">
            <w:pPr>
              <w:widowControl/>
              <w:adjustRightInd/>
              <w:spacing w:line="200" w:lineRule="exact"/>
              <w:textAlignment w:val="center"/>
              <w:rPr>
                <w:rFonts w:ascii="宋体" w:hAnsi="宋体" w:cs="宋体"/>
                <w:kern w:val="0"/>
                <w:sz w:val="18"/>
                <w:szCs w:val="18"/>
                <w:lang w:bidi="ar"/>
              </w:rPr>
            </w:pPr>
            <w:r>
              <w:rPr>
                <w:rFonts w:hint="eastAsia" w:ascii="宋体" w:hAnsi="宋体" w:cs="宋体"/>
                <w:kern w:val="0"/>
                <w:sz w:val="18"/>
                <w:szCs w:val="18"/>
                <w:lang w:bidi="ar"/>
              </w:rPr>
              <w:t>应通过现场服务、电话服务、短信服务、信函服务等多种方式提供售后服务，并对外公布咨询、投诉、退换等售后服务的具体方式。</w:t>
            </w:r>
          </w:p>
        </w:tc>
        <w:tc>
          <w:tcPr>
            <w:tcW w:w="709" w:type="dxa"/>
            <w:shd w:val="clear" w:color="auto" w:fill="auto"/>
            <w:vAlign w:val="center"/>
          </w:tcPr>
          <w:p w14:paraId="31C469AC">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1.5</w:t>
            </w:r>
          </w:p>
        </w:tc>
        <w:tc>
          <w:tcPr>
            <w:tcW w:w="2126" w:type="dxa"/>
            <w:shd w:val="clear" w:color="auto" w:fill="auto"/>
            <w:vAlign w:val="center"/>
          </w:tcPr>
          <w:p w14:paraId="26FDE67B">
            <w:pPr>
              <w:widowControl/>
              <w:adjustRightInd/>
              <w:spacing w:line="200" w:lineRule="exact"/>
              <w:textAlignment w:val="center"/>
              <w:rPr>
                <w:rFonts w:ascii="宋体" w:hAnsi="宋体" w:cs="宋体"/>
                <w:sz w:val="18"/>
                <w:szCs w:val="18"/>
              </w:rPr>
            </w:pPr>
            <w:r>
              <w:rPr>
                <w:rFonts w:hint="eastAsia" w:ascii="宋体" w:hAnsi="宋体" w:cs="宋体"/>
                <w:kern w:val="0"/>
                <w:sz w:val="18"/>
                <w:szCs w:val="18"/>
                <w:lang w:bidi="ar"/>
              </w:rPr>
              <w:t>满足得1.5分。</w:t>
            </w:r>
          </w:p>
        </w:tc>
        <w:tc>
          <w:tcPr>
            <w:tcW w:w="709" w:type="dxa"/>
          </w:tcPr>
          <w:p w14:paraId="17122B59">
            <w:pPr>
              <w:pStyle w:val="57"/>
              <w:ind w:firstLine="0" w:firstLineChars="0"/>
              <w:rPr>
                <w:sz w:val="18"/>
                <w:szCs w:val="18"/>
                <w:lang w:bidi="ar"/>
              </w:rPr>
            </w:pPr>
          </w:p>
        </w:tc>
      </w:tr>
      <w:tr w14:paraId="0014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219B863">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17</w:t>
            </w:r>
          </w:p>
        </w:tc>
        <w:tc>
          <w:tcPr>
            <w:tcW w:w="5953" w:type="dxa"/>
            <w:shd w:val="clear" w:color="auto" w:fill="auto"/>
            <w:vAlign w:val="center"/>
          </w:tcPr>
          <w:p w14:paraId="411A1768">
            <w:pPr>
              <w:widowControl/>
              <w:adjustRightInd/>
              <w:spacing w:line="200" w:lineRule="exact"/>
              <w:textAlignment w:val="center"/>
              <w:rPr>
                <w:rFonts w:ascii="宋体" w:hAnsi="宋体" w:cs="宋体"/>
                <w:sz w:val="18"/>
                <w:szCs w:val="18"/>
              </w:rPr>
            </w:pPr>
            <w:r>
              <w:rPr>
                <w:rFonts w:hint="eastAsia" w:ascii="宋体" w:hAnsi="宋体" w:cs="宋体"/>
                <w:sz w:val="18"/>
                <w:szCs w:val="18"/>
              </w:rPr>
              <w:t>应按照实际业务量匹配相应服务与专业人员，并定期进行专业知识、业务技能与职业素养等方面的培训。</w:t>
            </w:r>
          </w:p>
        </w:tc>
        <w:tc>
          <w:tcPr>
            <w:tcW w:w="709" w:type="dxa"/>
            <w:shd w:val="clear" w:color="auto" w:fill="auto"/>
            <w:vAlign w:val="center"/>
          </w:tcPr>
          <w:p w14:paraId="7955D638">
            <w:pPr>
              <w:widowControl/>
              <w:adjustRightInd/>
              <w:spacing w:line="200" w:lineRule="exact"/>
              <w:jc w:val="center"/>
              <w:textAlignment w:val="center"/>
              <w:rPr>
                <w:rFonts w:ascii="宋体" w:hAnsi="宋体" w:cs="宋体"/>
                <w:sz w:val="18"/>
                <w:szCs w:val="18"/>
              </w:rPr>
            </w:pPr>
            <w:r>
              <w:rPr>
                <w:rFonts w:hint="eastAsia" w:ascii="宋体" w:hAnsi="宋体" w:cs="宋体"/>
                <w:sz w:val="18"/>
                <w:szCs w:val="18"/>
              </w:rPr>
              <w:t>1</w:t>
            </w:r>
          </w:p>
        </w:tc>
        <w:tc>
          <w:tcPr>
            <w:tcW w:w="2126" w:type="dxa"/>
            <w:shd w:val="clear" w:color="auto" w:fill="auto"/>
            <w:vAlign w:val="center"/>
          </w:tcPr>
          <w:p w14:paraId="51D03E18">
            <w:pPr>
              <w:widowControl/>
              <w:adjustRightInd/>
              <w:spacing w:line="200" w:lineRule="exact"/>
              <w:textAlignment w:val="center"/>
              <w:rPr>
                <w:rFonts w:ascii="宋体" w:hAnsi="宋体" w:cs="宋体"/>
                <w:sz w:val="18"/>
                <w:szCs w:val="18"/>
              </w:rPr>
            </w:pPr>
            <w:r>
              <w:rPr>
                <w:rFonts w:hint="eastAsia" w:ascii="宋体" w:hAnsi="宋体" w:cs="宋体"/>
                <w:sz w:val="18"/>
                <w:szCs w:val="18"/>
              </w:rPr>
              <w:t>满足并提供相关材料得1分</w:t>
            </w:r>
            <w:r>
              <w:rPr>
                <w:rFonts w:hint="eastAsia" w:ascii="宋体" w:hAnsi="宋体" w:cs="宋体"/>
                <w:kern w:val="0"/>
                <w:sz w:val="18"/>
                <w:szCs w:val="18"/>
                <w:lang w:bidi="ar"/>
              </w:rPr>
              <w:t>。</w:t>
            </w:r>
          </w:p>
        </w:tc>
        <w:tc>
          <w:tcPr>
            <w:tcW w:w="709" w:type="dxa"/>
          </w:tcPr>
          <w:p w14:paraId="174B1A22">
            <w:pPr>
              <w:pStyle w:val="57"/>
              <w:ind w:firstLine="0" w:firstLineChars="0"/>
              <w:rPr>
                <w:sz w:val="18"/>
                <w:szCs w:val="18"/>
                <w:lang w:bidi="ar"/>
              </w:rPr>
            </w:pPr>
          </w:p>
        </w:tc>
      </w:tr>
      <w:tr w14:paraId="62C6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6688BA1">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18</w:t>
            </w:r>
          </w:p>
        </w:tc>
        <w:tc>
          <w:tcPr>
            <w:tcW w:w="5953" w:type="dxa"/>
            <w:vAlign w:val="center"/>
          </w:tcPr>
          <w:p w14:paraId="446DA9DA">
            <w:pPr>
              <w:pStyle w:val="57"/>
              <w:spacing w:line="0" w:lineRule="atLeast"/>
              <w:ind w:firstLine="0" w:firstLineChars="0"/>
              <w:jc w:val="left"/>
              <w:rPr>
                <w:sz w:val="18"/>
                <w:szCs w:val="18"/>
                <w:lang w:bidi="ar"/>
              </w:rPr>
            </w:pPr>
            <w:r>
              <w:rPr>
                <w:rFonts w:hint="eastAsia"/>
                <w:sz w:val="18"/>
                <w:szCs w:val="18"/>
              </w:rPr>
              <w:t>应通过现场服务、电话服务、短信服务、信函服务等多种方式提供售后服务，并对外公布咨询、投诉、退换等售后服务的具体方式。</w:t>
            </w:r>
          </w:p>
        </w:tc>
        <w:tc>
          <w:tcPr>
            <w:tcW w:w="709" w:type="dxa"/>
            <w:vAlign w:val="center"/>
          </w:tcPr>
          <w:p w14:paraId="5A136C41">
            <w:pPr>
              <w:pStyle w:val="57"/>
              <w:ind w:firstLine="0" w:firstLineChars="0"/>
              <w:jc w:val="center"/>
              <w:rPr>
                <w:sz w:val="18"/>
                <w:szCs w:val="18"/>
                <w:lang w:bidi="ar"/>
              </w:rPr>
            </w:pPr>
            <w:r>
              <w:rPr>
                <w:rFonts w:hint="eastAsia"/>
                <w:sz w:val="18"/>
                <w:szCs w:val="18"/>
                <w:lang w:bidi="ar"/>
              </w:rPr>
              <w:t>1.5</w:t>
            </w:r>
          </w:p>
        </w:tc>
        <w:tc>
          <w:tcPr>
            <w:tcW w:w="2126" w:type="dxa"/>
            <w:vAlign w:val="center"/>
          </w:tcPr>
          <w:p w14:paraId="5CB96EAF">
            <w:pPr>
              <w:pStyle w:val="57"/>
              <w:ind w:firstLine="0" w:firstLineChars="0"/>
              <w:jc w:val="left"/>
              <w:rPr>
                <w:sz w:val="18"/>
                <w:szCs w:val="18"/>
                <w:lang w:bidi="ar"/>
              </w:rPr>
            </w:pPr>
            <w:r>
              <w:rPr>
                <w:rFonts w:hint="eastAsia"/>
                <w:sz w:val="18"/>
                <w:szCs w:val="18"/>
                <w:lang w:bidi="ar"/>
              </w:rPr>
              <w:t>具有1种售后服务得0.5分，最高得1.5分。</w:t>
            </w:r>
          </w:p>
        </w:tc>
        <w:tc>
          <w:tcPr>
            <w:tcW w:w="709" w:type="dxa"/>
          </w:tcPr>
          <w:p w14:paraId="7FE140B2">
            <w:pPr>
              <w:pStyle w:val="57"/>
              <w:ind w:firstLine="0" w:firstLineChars="0"/>
              <w:rPr>
                <w:sz w:val="18"/>
                <w:szCs w:val="18"/>
                <w:lang w:bidi="ar"/>
              </w:rPr>
            </w:pPr>
          </w:p>
        </w:tc>
      </w:tr>
      <w:tr w14:paraId="13DE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068AA77">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19</w:t>
            </w:r>
          </w:p>
        </w:tc>
        <w:tc>
          <w:tcPr>
            <w:tcW w:w="5953" w:type="dxa"/>
            <w:vAlign w:val="center"/>
          </w:tcPr>
          <w:p w14:paraId="50DFBECD">
            <w:pPr>
              <w:pStyle w:val="57"/>
              <w:spacing w:line="0" w:lineRule="atLeast"/>
              <w:ind w:firstLine="0" w:firstLineChars="0"/>
              <w:jc w:val="left"/>
              <w:rPr>
                <w:sz w:val="18"/>
                <w:szCs w:val="18"/>
                <w:lang w:bidi="ar"/>
              </w:rPr>
            </w:pPr>
            <w:r>
              <w:rPr>
                <w:rFonts w:hint="eastAsia"/>
                <w:sz w:val="18"/>
                <w:szCs w:val="18"/>
              </w:rPr>
              <w:t>现有专业技术人员需具有一定学历（原则上需大专及以上学历），并持有国家有关部门认证的教练员证书或行业协会认证的教练员证书。</w:t>
            </w:r>
          </w:p>
        </w:tc>
        <w:tc>
          <w:tcPr>
            <w:tcW w:w="709" w:type="dxa"/>
            <w:vAlign w:val="center"/>
          </w:tcPr>
          <w:p w14:paraId="237E0C5F">
            <w:pPr>
              <w:pStyle w:val="57"/>
              <w:ind w:firstLine="0" w:firstLineChars="0"/>
              <w:jc w:val="center"/>
              <w:rPr>
                <w:sz w:val="18"/>
                <w:szCs w:val="18"/>
                <w:lang w:bidi="ar"/>
              </w:rPr>
            </w:pPr>
            <w:r>
              <w:rPr>
                <w:rFonts w:hint="eastAsia"/>
                <w:sz w:val="18"/>
                <w:szCs w:val="18"/>
                <w:lang w:bidi="ar"/>
              </w:rPr>
              <w:t>1</w:t>
            </w:r>
          </w:p>
        </w:tc>
        <w:tc>
          <w:tcPr>
            <w:tcW w:w="2126" w:type="dxa"/>
            <w:vAlign w:val="center"/>
          </w:tcPr>
          <w:p w14:paraId="7C001030">
            <w:pPr>
              <w:pStyle w:val="57"/>
              <w:ind w:firstLine="0" w:firstLineChars="0"/>
              <w:jc w:val="left"/>
              <w:rPr>
                <w:sz w:val="18"/>
                <w:szCs w:val="18"/>
                <w:lang w:bidi="ar"/>
              </w:rPr>
            </w:pPr>
            <w:r>
              <w:rPr>
                <w:rFonts w:hint="eastAsia" w:hAnsi="宋体" w:cs="宋体"/>
                <w:sz w:val="18"/>
                <w:szCs w:val="18"/>
                <w:lang w:bidi="ar"/>
              </w:rPr>
              <w:t>每1个教练员得0.1分,每一个救生员得0.1分，每人不重复得分，每具有1个符合资质证书得0.1分，最高得1分。</w:t>
            </w:r>
          </w:p>
        </w:tc>
        <w:tc>
          <w:tcPr>
            <w:tcW w:w="709" w:type="dxa"/>
          </w:tcPr>
          <w:p w14:paraId="70A04B07">
            <w:pPr>
              <w:pStyle w:val="57"/>
              <w:ind w:firstLine="0" w:firstLineChars="0"/>
              <w:rPr>
                <w:sz w:val="18"/>
                <w:szCs w:val="18"/>
                <w:lang w:bidi="ar"/>
              </w:rPr>
            </w:pPr>
          </w:p>
        </w:tc>
      </w:tr>
      <w:tr w14:paraId="168B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10" w:type="dxa"/>
            <w:vAlign w:val="center"/>
          </w:tcPr>
          <w:p w14:paraId="3598DBAE">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20</w:t>
            </w:r>
          </w:p>
        </w:tc>
        <w:tc>
          <w:tcPr>
            <w:tcW w:w="5953" w:type="dxa"/>
            <w:vAlign w:val="center"/>
          </w:tcPr>
          <w:p w14:paraId="67C9691D">
            <w:pPr>
              <w:pStyle w:val="57"/>
              <w:spacing w:line="0" w:lineRule="atLeast"/>
              <w:ind w:firstLine="0" w:firstLineChars="0"/>
              <w:jc w:val="left"/>
              <w:rPr>
                <w:sz w:val="18"/>
                <w:szCs w:val="18"/>
                <w:lang w:bidi="ar"/>
              </w:rPr>
            </w:pPr>
            <w:r>
              <w:rPr>
                <w:rFonts w:hint="eastAsia"/>
                <w:sz w:val="18"/>
                <w:szCs w:val="18"/>
              </w:rPr>
              <w:t>应根据开展的项目配备足够的从业人员，包括但不限于运营管理人员、健身教练、会籍顾问、前台服务人员、团课教练、后勤保障人员等。</w:t>
            </w:r>
          </w:p>
        </w:tc>
        <w:tc>
          <w:tcPr>
            <w:tcW w:w="709" w:type="dxa"/>
            <w:vAlign w:val="center"/>
          </w:tcPr>
          <w:p w14:paraId="6EE41306">
            <w:pPr>
              <w:pStyle w:val="57"/>
              <w:ind w:firstLine="0" w:firstLineChars="0"/>
              <w:jc w:val="center"/>
              <w:rPr>
                <w:sz w:val="18"/>
                <w:szCs w:val="18"/>
                <w:lang w:bidi="ar"/>
              </w:rPr>
            </w:pPr>
            <w:r>
              <w:rPr>
                <w:rFonts w:hint="eastAsia"/>
                <w:sz w:val="18"/>
                <w:szCs w:val="18"/>
                <w:lang w:bidi="ar"/>
              </w:rPr>
              <w:t>1</w:t>
            </w:r>
          </w:p>
        </w:tc>
        <w:tc>
          <w:tcPr>
            <w:tcW w:w="2126" w:type="dxa"/>
            <w:vAlign w:val="center"/>
          </w:tcPr>
          <w:p w14:paraId="4D9E2FC3">
            <w:pPr>
              <w:pStyle w:val="57"/>
              <w:ind w:firstLine="0" w:firstLineChars="0"/>
              <w:jc w:val="left"/>
              <w:rPr>
                <w:sz w:val="18"/>
                <w:szCs w:val="18"/>
                <w:lang w:bidi="ar"/>
              </w:rPr>
            </w:pPr>
            <w:r>
              <w:rPr>
                <w:rFonts w:hint="eastAsia"/>
                <w:sz w:val="18"/>
                <w:szCs w:val="18"/>
                <w:lang w:bidi="ar"/>
              </w:rPr>
              <w:t>每具有一类0.2分，最高得1分。</w:t>
            </w:r>
          </w:p>
        </w:tc>
        <w:tc>
          <w:tcPr>
            <w:tcW w:w="709" w:type="dxa"/>
          </w:tcPr>
          <w:p w14:paraId="684CD5E8">
            <w:pPr>
              <w:pStyle w:val="57"/>
              <w:ind w:firstLine="0" w:firstLineChars="0"/>
              <w:rPr>
                <w:sz w:val="18"/>
                <w:szCs w:val="18"/>
                <w:lang w:bidi="ar"/>
              </w:rPr>
            </w:pPr>
          </w:p>
        </w:tc>
      </w:tr>
      <w:tr w14:paraId="2AA8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10" w:type="dxa"/>
            <w:vAlign w:val="center"/>
          </w:tcPr>
          <w:p w14:paraId="5919999A">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21</w:t>
            </w:r>
          </w:p>
        </w:tc>
        <w:tc>
          <w:tcPr>
            <w:tcW w:w="5953" w:type="dxa"/>
            <w:vAlign w:val="center"/>
          </w:tcPr>
          <w:p w14:paraId="73A91063">
            <w:pPr>
              <w:pStyle w:val="57"/>
              <w:spacing w:line="0" w:lineRule="atLeast"/>
              <w:ind w:firstLine="0" w:firstLineChars="0"/>
              <w:jc w:val="left"/>
              <w:rPr>
                <w:sz w:val="18"/>
                <w:szCs w:val="18"/>
                <w:lang w:bidi="ar"/>
              </w:rPr>
            </w:pPr>
            <w:r>
              <w:rPr>
                <w:rFonts w:hint="eastAsia"/>
                <w:sz w:val="18"/>
                <w:szCs w:val="18"/>
              </w:rPr>
              <w:t>对需要付费提供的售后服务项目，应在合同签订前充分告知消费者。</w:t>
            </w:r>
          </w:p>
        </w:tc>
        <w:tc>
          <w:tcPr>
            <w:tcW w:w="709" w:type="dxa"/>
            <w:vAlign w:val="center"/>
          </w:tcPr>
          <w:p w14:paraId="2493F998">
            <w:pPr>
              <w:pStyle w:val="57"/>
              <w:ind w:firstLine="0" w:firstLineChars="0"/>
              <w:jc w:val="center"/>
              <w:rPr>
                <w:sz w:val="18"/>
                <w:szCs w:val="18"/>
                <w:lang w:bidi="ar"/>
              </w:rPr>
            </w:pPr>
            <w:r>
              <w:rPr>
                <w:rFonts w:hint="eastAsia"/>
                <w:sz w:val="18"/>
                <w:szCs w:val="18"/>
                <w:lang w:bidi="ar"/>
              </w:rPr>
              <w:t>0.5</w:t>
            </w:r>
          </w:p>
        </w:tc>
        <w:tc>
          <w:tcPr>
            <w:tcW w:w="2126" w:type="dxa"/>
            <w:vAlign w:val="center"/>
          </w:tcPr>
          <w:p w14:paraId="4F7EF7DB">
            <w:pPr>
              <w:pStyle w:val="57"/>
              <w:ind w:firstLine="0" w:firstLineChars="0"/>
              <w:jc w:val="left"/>
              <w:rPr>
                <w:sz w:val="18"/>
                <w:szCs w:val="18"/>
                <w:lang w:bidi="ar"/>
              </w:rPr>
            </w:pPr>
            <w:r>
              <w:rPr>
                <w:rFonts w:hint="eastAsia"/>
                <w:sz w:val="18"/>
                <w:szCs w:val="18"/>
                <w:lang w:bidi="ar"/>
              </w:rPr>
              <w:t>满足得0.5分。</w:t>
            </w:r>
          </w:p>
        </w:tc>
        <w:tc>
          <w:tcPr>
            <w:tcW w:w="709" w:type="dxa"/>
          </w:tcPr>
          <w:p w14:paraId="567FB482">
            <w:pPr>
              <w:pStyle w:val="57"/>
              <w:ind w:firstLine="0" w:firstLineChars="0"/>
              <w:rPr>
                <w:sz w:val="18"/>
                <w:szCs w:val="18"/>
                <w:lang w:bidi="ar"/>
              </w:rPr>
            </w:pPr>
          </w:p>
        </w:tc>
      </w:tr>
      <w:tr w14:paraId="68FF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A5BE08C">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22</w:t>
            </w:r>
          </w:p>
        </w:tc>
        <w:tc>
          <w:tcPr>
            <w:tcW w:w="5953" w:type="dxa"/>
            <w:vAlign w:val="center"/>
          </w:tcPr>
          <w:p w14:paraId="691C44E9">
            <w:pPr>
              <w:pStyle w:val="57"/>
              <w:spacing w:line="0" w:lineRule="atLeast"/>
              <w:ind w:firstLine="0" w:firstLineChars="0"/>
              <w:jc w:val="left"/>
              <w:rPr>
                <w:sz w:val="18"/>
                <w:szCs w:val="18"/>
                <w:lang w:bidi="ar"/>
              </w:rPr>
            </w:pPr>
            <w:r>
              <w:rPr>
                <w:rFonts w:hint="eastAsia"/>
                <w:sz w:val="18"/>
                <w:szCs w:val="18"/>
              </w:rPr>
              <w:t>在面向消费者所开展的广告、营销活动和提供服务过程中，不应存在损害或歧视特殊群体的现象，应在服务方面公平对待青少年、老年人、残疾人等特殊群体。</w:t>
            </w:r>
          </w:p>
        </w:tc>
        <w:tc>
          <w:tcPr>
            <w:tcW w:w="709" w:type="dxa"/>
            <w:vAlign w:val="center"/>
          </w:tcPr>
          <w:p w14:paraId="31E08AAB">
            <w:pPr>
              <w:pStyle w:val="57"/>
              <w:ind w:firstLine="0" w:firstLineChars="0"/>
              <w:jc w:val="center"/>
              <w:rPr>
                <w:sz w:val="18"/>
                <w:szCs w:val="18"/>
                <w:lang w:bidi="ar"/>
              </w:rPr>
            </w:pPr>
            <w:r>
              <w:rPr>
                <w:rFonts w:hint="eastAsia"/>
                <w:sz w:val="18"/>
                <w:szCs w:val="18"/>
                <w:lang w:bidi="ar"/>
              </w:rPr>
              <w:t>1</w:t>
            </w:r>
          </w:p>
        </w:tc>
        <w:tc>
          <w:tcPr>
            <w:tcW w:w="2126" w:type="dxa"/>
            <w:vAlign w:val="center"/>
          </w:tcPr>
          <w:p w14:paraId="3D72C02E">
            <w:pPr>
              <w:pStyle w:val="57"/>
              <w:ind w:firstLine="0" w:firstLineChars="0"/>
              <w:jc w:val="left"/>
              <w:rPr>
                <w:sz w:val="18"/>
                <w:szCs w:val="18"/>
                <w:lang w:bidi="ar"/>
              </w:rPr>
            </w:pPr>
            <w:r>
              <w:rPr>
                <w:rFonts w:hint="eastAsia"/>
                <w:sz w:val="18"/>
                <w:szCs w:val="18"/>
                <w:lang w:bidi="ar"/>
              </w:rPr>
              <w:t>满足得1分。</w:t>
            </w:r>
          </w:p>
        </w:tc>
        <w:tc>
          <w:tcPr>
            <w:tcW w:w="709" w:type="dxa"/>
          </w:tcPr>
          <w:p w14:paraId="51FCEAB1">
            <w:pPr>
              <w:pStyle w:val="57"/>
              <w:ind w:firstLine="0" w:firstLineChars="0"/>
              <w:rPr>
                <w:sz w:val="18"/>
                <w:szCs w:val="18"/>
                <w:lang w:bidi="ar"/>
              </w:rPr>
            </w:pPr>
          </w:p>
        </w:tc>
      </w:tr>
      <w:tr w14:paraId="4CE7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5BFC071">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23</w:t>
            </w:r>
          </w:p>
        </w:tc>
        <w:tc>
          <w:tcPr>
            <w:tcW w:w="5953" w:type="dxa"/>
            <w:vAlign w:val="center"/>
          </w:tcPr>
          <w:p w14:paraId="1A956386">
            <w:pPr>
              <w:pStyle w:val="57"/>
              <w:spacing w:line="0" w:lineRule="atLeast"/>
              <w:ind w:firstLine="0" w:firstLineChars="0"/>
              <w:jc w:val="left"/>
              <w:rPr>
                <w:sz w:val="18"/>
                <w:szCs w:val="18"/>
                <w:lang w:bidi="ar"/>
              </w:rPr>
            </w:pPr>
            <w:r>
              <w:rPr>
                <w:rFonts w:hint="eastAsia"/>
                <w:sz w:val="18"/>
                <w:szCs w:val="18"/>
              </w:rPr>
              <w:t>应能提供差异化服务，满足残疾人的健身需求，无障碍设施符合《无障碍设计规范》（GB 50763-2012）第3项要求。</w:t>
            </w:r>
          </w:p>
        </w:tc>
        <w:tc>
          <w:tcPr>
            <w:tcW w:w="709" w:type="dxa"/>
            <w:vAlign w:val="center"/>
          </w:tcPr>
          <w:p w14:paraId="5097BFA5">
            <w:pPr>
              <w:pStyle w:val="57"/>
              <w:ind w:firstLine="0" w:firstLineChars="0"/>
              <w:jc w:val="center"/>
              <w:rPr>
                <w:sz w:val="18"/>
                <w:szCs w:val="18"/>
                <w:lang w:bidi="ar"/>
              </w:rPr>
            </w:pPr>
            <w:r>
              <w:rPr>
                <w:rFonts w:hint="eastAsia"/>
                <w:sz w:val="18"/>
                <w:szCs w:val="18"/>
                <w:lang w:bidi="ar"/>
              </w:rPr>
              <w:t>0.5</w:t>
            </w:r>
          </w:p>
        </w:tc>
        <w:tc>
          <w:tcPr>
            <w:tcW w:w="2126" w:type="dxa"/>
            <w:vAlign w:val="center"/>
          </w:tcPr>
          <w:p w14:paraId="735BF419">
            <w:pPr>
              <w:pStyle w:val="57"/>
              <w:ind w:firstLine="0" w:firstLineChars="0"/>
              <w:jc w:val="left"/>
              <w:rPr>
                <w:sz w:val="18"/>
                <w:szCs w:val="18"/>
                <w:lang w:bidi="ar"/>
              </w:rPr>
            </w:pPr>
            <w:r>
              <w:rPr>
                <w:rFonts w:hint="eastAsia"/>
                <w:sz w:val="18"/>
                <w:szCs w:val="18"/>
                <w:lang w:bidi="ar"/>
              </w:rPr>
              <w:t>满足得0.5分。</w:t>
            </w:r>
          </w:p>
        </w:tc>
        <w:tc>
          <w:tcPr>
            <w:tcW w:w="709" w:type="dxa"/>
          </w:tcPr>
          <w:p w14:paraId="0136AD8D">
            <w:pPr>
              <w:pStyle w:val="57"/>
              <w:ind w:firstLine="0" w:firstLineChars="0"/>
              <w:rPr>
                <w:sz w:val="18"/>
                <w:szCs w:val="18"/>
                <w:lang w:bidi="ar"/>
              </w:rPr>
            </w:pPr>
          </w:p>
        </w:tc>
      </w:tr>
      <w:tr w14:paraId="452F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AC6F554">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24</w:t>
            </w:r>
          </w:p>
        </w:tc>
        <w:tc>
          <w:tcPr>
            <w:tcW w:w="5953" w:type="dxa"/>
            <w:vAlign w:val="center"/>
          </w:tcPr>
          <w:p w14:paraId="4944261E">
            <w:pPr>
              <w:pStyle w:val="57"/>
              <w:ind w:firstLine="0" w:firstLineChars="0"/>
              <w:jc w:val="left"/>
              <w:rPr>
                <w:sz w:val="18"/>
                <w:szCs w:val="18"/>
                <w:lang w:bidi="ar"/>
              </w:rPr>
            </w:pPr>
            <w:r>
              <w:rPr>
                <w:rFonts w:hint="eastAsia"/>
                <w:sz w:val="18"/>
                <w:szCs w:val="18"/>
              </w:rPr>
              <w:t>具有企业特色的标准化服务流程，包括客户尊称、标志性手势等。</w:t>
            </w:r>
          </w:p>
        </w:tc>
        <w:tc>
          <w:tcPr>
            <w:tcW w:w="709" w:type="dxa"/>
            <w:vAlign w:val="center"/>
          </w:tcPr>
          <w:p w14:paraId="4921CD09">
            <w:pPr>
              <w:pStyle w:val="57"/>
              <w:ind w:firstLine="0" w:firstLineChars="0"/>
              <w:jc w:val="center"/>
              <w:rPr>
                <w:sz w:val="18"/>
                <w:szCs w:val="18"/>
                <w:lang w:bidi="ar"/>
              </w:rPr>
            </w:pPr>
            <w:r>
              <w:rPr>
                <w:rFonts w:hint="eastAsia"/>
                <w:sz w:val="18"/>
                <w:szCs w:val="18"/>
                <w:lang w:bidi="ar"/>
              </w:rPr>
              <w:t>0.6</w:t>
            </w:r>
          </w:p>
        </w:tc>
        <w:tc>
          <w:tcPr>
            <w:tcW w:w="2126" w:type="dxa"/>
            <w:vAlign w:val="center"/>
          </w:tcPr>
          <w:p w14:paraId="67991772">
            <w:pPr>
              <w:pStyle w:val="57"/>
              <w:ind w:firstLine="0" w:firstLineChars="0"/>
              <w:jc w:val="left"/>
              <w:rPr>
                <w:sz w:val="18"/>
                <w:szCs w:val="18"/>
                <w:lang w:bidi="ar"/>
              </w:rPr>
            </w:pPr>
            <w:r>
              <w:rPr>
                <w:rFonts w:hint="eastAsia"/>
                <w:sz w:val="18"/>
                <w:szCs w:val="18"/>
                <w:lang w:bidi="ar"/>
              </w:rPr>
              <w:t>每一项0.2分，最高0.6分。</w:t>
            </w:r>
          </w:p>
        </w:tc>
        <w:tc>
          <w:tcPr>
            <w:tcW w:w="709" w:type="dxa"/>
          </w:tcPr>
          <w:p w14:paraId="358A5DAA">
            <w:pPr>
              <w:pStyle w:val="57"/>
              <w:ind w:firstLine="0" w:firstLineChars="0"/>
              <w:rPr>
                <w:sz w:val="18"/>
                <w:szCs w:val="18"/>
                <w:lang w:bidi="ar"/>
              </w:rPr>
            </w:pPr>
          </w:p>
        </w:tc>
      </w:tr>
      <w:tr w14:paraId="2972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10" w:type="dxa"/>
            <w:vAlign w:val="center"/>
          </w:tcPr>
          <w:p w14:paraId="5FFE492E">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25</w:t>
            </w:r>
          </w:p>
        </w:tc>
        <w:tc>
          <w:tcPr>
            <w:tcW w:w="5953" w:type="dxa"/>
            <w:vAlign w:val="center"/>
          </w:tcPr>
          <w:p w14:paraId="687F50D7">
            <w:pPr>
              <w:pStyle w:val="57"/>
              <w:ind w:firstLine="0" w:firstLineChars="0"/>
              <w:jc w:val="left"/>
              <w:rPr>
                <w:sz w:val="18"/>
                <w:szCs w:val="18"/>
                <w:lang w:bidi="ar"/>
              </w:rPr>
            </w:pPr>
            <w:r>
              <w:rPr>
                <w:rFonts w:hint="eastAsia"/>
                <w:sz w:val="18"/>
                <w:szCs w:val="18"/>
              </w:rPr>
              <w:t>定期为所在社区或街道提供免费的社会服务（游泳公开课、落水自救等）。</w:t>
            </w:r>
          </w:p>
        </w:tc>
        <w:tc>
          <w:tcPr>
            <w:tcW w:w="709" w:type="dxa"/>
            <w:vAlign w:val="center"/>
          </w:tcPr>
          <w:p w14:paraId="3ECB83AD">
            <w:pPr>
              <w:pStyle w:val="57"/>
              <w:ind w:firstLine="0" w:firstLineChars="0"/>
              <w:jc w:val="center"/>
              <w:rPr>
                <w:sz w:val="18"/>
                <w:szCs w:val="18"/>
                <w:lang w:bidi="ar"/>
              </w:rPr>
            </w:pPr>
            <w:r>
              <w:rPr>
                <w:rFonts w:hint="eastAsia"/>
                <w:sz w:val="18"/>
                <w:szCs w:val="18"/>
                <w:lang w:bidi="ar"/>
              </w:rPr>
              <w:t>0.4</w:t>
            </w:r>
          </w:p>
        </w:tc>
        <w:tc>
          <w:tcPr>
            <w:tcW w:w="2126" w:type="dxa"/>
            <w:vAlign w:val="center"/>
          </w:tcPr>
          <w:p w14:paraId="040A6EDA">
            <w:pPr>
              <w:pStyle w:val="57"/>
              <w:ind w:firstLine="0" w:firstLineChars="0"/>
              <w:jc w:val="left"/>
              <w:rPr>
                <w:sz w:val="18"/>
                <w:szCs w:val="18"/>
                <w:lang w:bidi="ar"/>
              </w:rPr>
            </w:pPr>
            <w:r>
              <w:rPr>
                <w:rFonts w:hint="eastAsia" w:hAnsi="宋体" w:cs="宋体"/>
                <w:sz w:val="18"/>
                <w:szCs w:val="18"/>
                <w:lang w:bidi="ar"/>
              </w:rPr>
              <w:t>提供1次0.1分，最高得分0.4分。</w:t>
            </w:r>
          </w:p>
        </w:tc>
        <w:tc>
          <w:tcPr>
            <w:tcW w:w="709" w:type="dxa"/>
          </w:tcPr>
          <w:p w14:paraId="2C54D205">
            <w:pPr>
              <w:pStyle w:val="57"/>
              <w:ind w:firstLine="0" w:firstLineChars="0"/>
              <w:rPr>
                <w:sz w:val="18"/>
                <w:szCs w:val="18"/>
                <w:lang w:bidi="ar"/>
              </w:rPr>
            </w:pPr>
          </w:p>
        </w:tc>
      </w:tr>
      <w:tr w14:paraId="5A94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10" w:type="dxa"/>
            <w:vAlign w:val="center"/>
          </w:tcPr>
          <w:p w14:paraId="14303F7B">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26</w:t>
            </w:r>
          </w:p>
        </w:tc>
        <w:tc>
          <w:tcPr>
            <w:tcW w:w="5953" w:type="dxa"/>
            <w:vAlign w:val="center"/>
          </w:tcPr>
          <w:p w14:paraId="347C8D60">
            <w:pPr>
              <w:pStyle w:val="57"/>
              <w:ind w:firstLine="0" w:firstLineChars="0"/>
              <w:jc w:val="left"/>
              <w:rPr>
                <w:sz w:val="18"/>
                <w:szCs w:val="18"/>
                <w:lang w:bidi="ar"/>
              </w:rPr>
            </w:pPr>
            <w:r>
              <w:rPr>
                <w:rFonts w:hint="eastAsia"/>
                <w:sz w:val="18"/>
                <w:szCs w:val="18"/>
              </w:rPr>
              <w:t>工作人员应使用普通话服务和外语服务。</w:t>
            </w:r>
          </w:p>
        </w:tc>
        <w:tc>
          <w:tcPr>
            <w:tcW w:w="709" w:type="dxa"/>
            <w:vAlign w:val="center"/>
          </w:tcPr>
          <w:p w14:paraId="227A2111">
            <w:pPr>
              <w:pStyle w:val="57"/>
              <w:ind w:firstLine="0" w:firstLineChars="0"/>
              <w:jc w:val="center"/>
              <w:rPr>
                <w:sz w:val="18"/>
                <w:szCs w:val="18"/>
                <w:lang w:bidi="ar"/>
              </w:rPr>
            </w:pPr>
            <w:r>
              <w:rPr>
                <w:rFonts w:hint="eastAsia"/>
                <w:sz w:val="18"/>
                <w:szCs w:val="18"/>
                <w:lang w:bidi="ar"/>
              </w:rPr>
              <w:t>0.5</w:t>
            </w:r>
          </w:p>
        </w:tc>
        <w:tc>
          <w:tcPr>
            <w:tcW w:w="2126" w:type="dxa"/>
            <w:vAlign w:val="center"/>
          </w:tcPr>
          <w:p w14:paraId="692B2B69">
            <w:pPr>
              <w:pStyle w:val="57"/>
              <w:ind w:firstLine="0" w:firstLineChars="0"/>
              <w:jc w:val="left"/>
              <w:rPr>
                <w:sz w:val="18"/>
                <w:szCs w:val="18"/>
                <w:lang w:bidi="ar"/>
              </w:rPr>
            </w:pPr>
            <w:r>
              <w:rPr>
                <w:rFonts w:hint="eastAsia"/>
                <w:sz w:val="18"/>
                <w:szCs w:val="18"/>
                <w:lang w:bidi="ar"/>
              </w:rPr>
              <w:t>提供普通话服务得0.3分，能提供一种外语服务得0.2分，最高0.5分。</w:t>
            </w:r>
          </w:p>
        </w:tc>
        <w:tc>
          <w:tcPr>
            <w:tcW w:w="709" w:type="dxa"/>
          </w:tcPr>
          <w:p w14:paraId="07920FEB">
            <w:pPr>
              <w:pStyle w:val="57"/>
              <w:ind w:firstLine="0" w:firstLineChars="0"/>
              <w:rPr>
                <w:sz w:val="18"/>
                <w:szCs w:val="18"/>
                <w:lang w:bidi="ar"/>
              </w:rPr>
            </w:pPr>
          </w:p>
        </w:tc>
      </w:tr>
      <w:tr w14:paraId="0F74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10" w:type="dxa"/>
            <w:vAlign w:val="center"/>
          </w:tcPr>
          <w:p w14:paraId="15433338">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27</w:t>
            </w:r>
          </w:p>
        </w:tc>
        <w:tc>
          <w:tcPr>
            <w:tcW w:w="5953" w:type="dxa"/>
            <w:vAlign w:val="center"/>
          </w:tcPr>
          <w:p w14:paraId="58D8F8AF">
            <w:pPr>
              <w:pStyle w:val="57"/>
              <w:ind w:firstLine="0" w:firstLineChars="0"/>
              <w:jc w:val="left"/>
              <w:rPr>
                <w:sz w:val="18"/>
                <w:szCs w:val="18"/>
              </w:rPr>
            </w:pPr>
            <w:r>
              <w:rPr>
                <w:rFonts w:hint="eastAsia"/>
                <w:sz w:val="18"/>
                <w:szCs w:val="18"/>
              </w:rPr>
              <w:t>员工应符合从业人员着装及行为规范。</w:t>
            </w:r>
          </w:p>
        </w:tc>
        <w:tc>
          <w:tcPr>
            <w:tcW w:w="709" w:type="dxa"/>
            <w:vAlign w:val="center"/>
          </w:tcPr>
          <w:p w14:paraId="28E428B5">
            <w:pPr>
              <w:pStyle w:val="57"/>
              <w:ind w:firstLine="0" w:firstLineChars="0"/>
              <w:jc w:val="center"/>
              <w:rPr>
                <w:rFonts w:hAnsi="宋体" w:cs="宋体"/>
                <w:sz w:val="18"/>
                <w:szCs w:val="18"/>
              </w:rPr>
            </w:pPr>
            <w:r>
              <w:rPr>
                <w:rFonts w:hint="eastAsia" w:hAnsi="宋体" w:cs="宋体"/>
                <w:sz w:val="18"/>
                <w:szCs w:val="18"/>
              </w:rPr>
              <w:t>0.5</w:t>
            </w:r>
          </w:p>
        </w:tc>
        <w:tc>
          <w:tcPr>
            <w:tcW w:w="2126" w:type="dxa"/>
            <w:vAlign w:val="center"/>
          </w:tcPr>
          <w:p w14:paraId="335A823F">
            <w:pPr>
              <w:pStyle w:val="57"/>
              <w:ind w:firstLine="0" w:firstLineChars="0"/>
              <w:jc w:val="left"/>
              <w:rPr>
                <w:sz w:val="18"/>
                <w:szCs w:val="18"/>
                <w:lang w:bidi="ar"/>
              </w:rPr>
            </w:pPr>
            <w:r>
              <w:rPr>
                <w:rFonts w:hint="eastAsia"/>
                <w:sz w:val="18"/>
                <w:szCs w:val="18"/>
                <w:lang w:bidi="ar"/>
              </w:rPr>
              <w:t>满足得0.5分。</w:t>
            </w:r>
          </w:p>
        </w:tc>
        <w:tc>
          <w:tcPr>
            <w:tcW w:w="709" w:type="dxa"/>
          </w:tcPr>
          <w:p w14:paraId="3A111B15">
            <w:pPr>
              <w:pStyle w:val="57"/>
              <w:ind w:firstLine="0" w:firstLineChars="0"/>
              <w:rPr>
                <w:sz w:val="18"/>
                <w:szCs w:val="18"/>
                <w:lang w:bidi="ar"/>
              </w:rPr>
            </w:pPr>
          </w:p>
        </w:tc>
      </w:tr>
      <w:tr w14:paraId="66E4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663" w:type="dxa"/>
            <w:gridSpan w:val="2"/>
            <w:vAlign w:val="center"/>
          </w:tcPr>
          <w:p w14:paraId="0396E9D2">
            <w:pPr>
              <w:pStyle w:val="57"/>
              <w:ind w:firstLine="0" w:firstLineChars="0"/>
              <w:jc w:val="center"/>
              <w:rPr>
                <w:rFonts w:ascii="黑体" w:hAnsi="黑体" w:eastAsia="黑体"/>
                <w:sz w:val="18"/>
                <w:szCs w:val="18"/>
                <w:lang w:bidi="ar"/>
              </w:rPr>
            </w:pPr>
            <w:r>
              <w:rPr>
                <w:rFonts w:hint="eastAsia" w:ascii="黑体" w:hAnsi="黑体" w:eastAsia="黑体" w:cs="宋体"/>
                <w:sz w:val="18"/>
                <w:szCs w:val="18"/>
              </w:rPr>
              <w:t>指标总分</w:t>
            </w:r>
          </w:p>
        </w:tc>
        <w:tc>
          <w:tcPr>
            <w:tcW w:w="709" w:type="dxa"/>
            <w:vAlign w:val="center"/>
          </w:tcPr>
          <w:p w14:paraId="30F8017D">
            <w:pPr>
              <w:pStyle w:val="57"/>
              <w:ind w:firstLine="0" w:firstLineChars="0"/>
              <w:jc w:val="center"/>
              <w:rPr>
                <w:sz w:val="18"/>
                <w:szCs w:val="18"/>
                <w:lang w:bidi="ar"/>
              </w:rPr>
            </w:pPr>
            <w:r>
              <w:rPr>
                <w:rFonts w:hint="eastAsia"/>
                <w:sz w:val="18"/>
                <w:szCs w:val="18"/>
                <w:lang w:bidi="ar"/>
              </w:rPr>
              <w:t>30</w:t>
            </w:r>
          </w:p>
        </w:tc>
        <w:tc>
          <w:tcPr>
            <w:tcW w:w="2126" w:type="dxa"/>
            <w:vAlign w:val="center"/>
          </w:tcPr>
          <w:p w14:paraId="38D63397">
            <w:pPr>
              <w:pStyle w:val="57"/>
              <w:ind w:firstLine="0" w:firstLineChars="0"/>
              <w:jc w:val="center"/>
              <w:rPr>
                <w:sz w:val="18"/>
                <w:szCs w:val="18"/>
                <w:lang w:bidi="ar"/>
              </w:rPr>
            </w:pPr>
            <w:r>
              <w:rPr>
                <w:rFonts w:hint="eastAsia" w:hAnsi="宋体" w:cs="宋体"/>
                <w:sz w:val="18"/>
                <w:szCs w:val="18"/>
                <w:lang w:bidi="ar"/>
              </w:rPr>
              <w:t>评定总分</w:t>
            </w:r>
          </w:p>
        </w:tc>
        <w:tc>
          <w:tcPr>
            <w:tcW w:w="709" w:type="dxa"/>
          </w:tcPr>
          <w:p w14:paraId="17D7795B">
            <w:pPr>
              <w:pStyle w:val="57"/>
              <w:ind w:firstLine="0" w:firstLineChars="0"/>
              <w:rPr>
                <w:lang w:bidi="ar"/>
              </w:rPr>
            </w:pPr>
          </w:p>
        </w:tc>
      </w:tr>
    </w:tbl>
    <w:p w14:paraId="4D75768E">
      <w:pPr>
        <w:pStyle w:val="78"/>
        <w:numPr>
          <w:ilvl w:val="0"/>
          <w:numId w:val="0"/>
        </w:numPr>
        <w:spacing w:before="120" w:after="120"/>
        <w:ind w:left="420"/>
        <w:jc w:val="both"/>
        <w:rPr>
          <w:lang w:bidi="ar"/>
        </w:rPr>
      </w:pPr>
    </w:p>
    <w:p w14:paraId="5755D3A9">
      <w:pPr>
        <w:pStyle w:val="57"/>
        <w:ind w:firstLine="420"/>
        <w:rPr>
          <w:lang w:bidi="ar"/>
        </w:rPr>
      </w:pPr>
    </w:p>
    <w:p w14:paraId="379C2D44">
      <w:pPr>
        <w:rPr>
          <w:rFonts w:hint="eastAsia" w:ascii="宋体" w:eastAsia="宋体"/>
          <w:b/>
          <w:bCs/>
          <w:kern w:val="0"/>
        </w:rPr>
      </w:pPr>
      <w:r>
        <w:rPr>
          <w:rFonts w:hint="eastAsia" w:ascii="宋体" w:eastAsia="宋体"/>
          <w:b/>
          <w:bCs/>
          <w:kern w:val="0"/>
        </w:rPr>
        <w:br w:type="page"/>
      </w:r>
    </w:p>
    <w:p w14:paraId="2DB5B77F">
      <w:pPr>
        <w:pStyle w:val="78"/>
        <w:numPr>
          <w:ilvl w:val="1"/>
          <w:numId w:val="0"/>
        </w:numPr>
        <w:spacing w:before="120" w:after="120"/>
        <w:jc w:val="center"/>
        <w:rPr>
          <w:highlight w:val="none"/>
          <w:lang w:bidi="ar"/>
        </w:rPr>
      </w:pPr>
      <w:r>
        <w:rPr>
          <w:rFonts w:hint="eastAsia" w:ascii="宋体" w:eastAsia="宋体"/>
          <w:b/>
          <w:bCs/>
          <w:kern w:val="0"/>
          <w:highlight w:val="none"/>
        </w:rPr>
        <w:t>表B.4游泳池（馆）运营管理服务服务质量的安全卫生评分表</w:t>
      </w:r>
    </w:p>
    <w:tbl>
      <w:tblPr>
        <w:tblStyle w:val="28"/>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5953"/>
        <w:gridCol w:w="709"/>
        <w:gridCol w:w="2126"/>
        <w:gridCol w:w="709"/>
      </w:tblGrid>
      <w:tr w14:paraId="0B57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071FD45">
            <w:pPr>
              <w:pStyle w:val="57"/>
              <w:ind w:firstLine="0" w:firstLineChars="0"/>
              <w:jc w:val="center"/>
              <w:rPr>
                <w:sz w:val="18"/>
                <w:szCs w:val="18"/>
                <w:lang w:bidi="ar"/>
              </w:rPr>
            </w:pPr>
            <w:r>
              <w:rPr>
                <w:rFonts w:hint="eastAsia"/>
                <w:sz w:val="18"/>
                <w:szCs w:val="18"/>
                <w:lang w:bidi="ar"/>
              </w:rPr>
              <w:t>序号</w:t>
            </w:r>
          </w:p>
        </w:tc>
        <w:tc>
          <w:tcPr>
            <w:tcW w:w="5953" w:type="dxa"/>
            <w:vAlign w:val="center"/>
          </w:tcPr>
          <w:p w14:paraId="5156F7DE">
            <w:pPr>
              <w:pStyle w:val="57"/>
              <w:ind w:firstLine="0" w:firstLineChars="0"/>
              <w:jc w:val="center"/>
              <w:rPr>
                <w:sz w:val="18"/>
                <w:szCs w:val="18"/>
                <w:lang w:bidi="ar"/>
              </w:rPr>
            </w:pPr>
            <w:r>
              <w:rPr>
                <w:rFonts w:hint="eastAsia" w:hAnsi="宋体" w:cs="宋体"/>
                <w:sz w:val="18"/>
                <w:szCs w:val="18"/>
                <w:lang w:bidi="ar"/>
              </w:rPr>
              <w:t>指标</w:t>
            </w:r>
          </w:p>
        </w:tc>
        <w:tc>
          <w:tcPr>
            <w:tcW w:w="709" w:type="dxa"/>
            <w:vAlign w:val="center"/>
          </w:tcPr>
          <w:p w14:paraId="2475AF58">
            <w:pPr>
              <w:pStyle w:val="57"/>
              <w:ind w:firstLine="0" w:firstLineChars="0"/>
              <w:jc w:val="center"/>
              <w:rPr>
                <w:sz w:val="18"/>
                <w:szCs w:val="18"/>
                <w:lang w:bidi="ar"/>
              </w:rPr>
            </w:pPr>
            <w:r>
              <w:rPr>
                <w:rFonts w:hint="eastAsia" w:hAnsi="宋体" w:cs="宋体"/>
                <w:sz w:val="18"/>
                <w:szCs w:val="18"/>
              </w:rPr>
              <w:t>指标分值</w:t>
            </w:r>
          </w:p>
        </w:tc>
        <w:tc>
          <w:tcPr>
            <w:tcW w:w="2126" w:type="dxa"/>
            <w:vAlign w:val="center"/>
          </w:tcPr>
          <w:p w14:paraId="5EB567C8">
            <w:pPr>
              <w:pStyle w:val="57"/>
              <w:ind w:firstLine="0" w:firstLineChars="0"/>
              <w:jc w:val="center"/>
              <w:rPr>
                <w:sz w:val="18"/>
                <w:szCs w:val="18"/>
                <w:lang w:bidi="ar"/>
              </w:rPr>
            </w:pPr>
            <w:r>
              <w:rPr>
                <w:rFonts w:hint="eastAsia" w:hAnsi="宋体" w:cs="宋体"/>
                <w:sz w:val="18"/>
                <w:szCs w:val="18"/>
                <w:lang w:bidi="ar"/>
              </w:rPr>
              <w:t>评定办法</w:t>
            </w:r>
          </w:p>
        </w:tc>
        <w:tc>
          <w:tcPr>
            <w:tcW w:w="709" w:type="dxa"/>
            <w:vAlign w:val="center"/>
          </w:tcPr>
          <w:p w14:paraId="3738EF3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评定</w:t>
            </w:r>
          </w:p>
          <w:p w14:paraId="2E7B44A3">
            <w:pPr>
              <w:pStyle w:val="57"/>
              <w:ind w:firstLine="0" w:firstLineChars="0"/>
              <w:jc w:val="center"/>
              <w:rPr>
                <w:sz w:val="18"/>
                <w:szCs w:val="18"/>
                <w:lang w:bidi="ar"/>
              </w:rPr>
            </w:pPr>
            <w:r>
              <w:rPr>
                <w:rFonts w:hint="eastAsia" w:hAnsi="宋体" w:cs="宋体"/>
                <w:sz w:val="18"/>
                <w:szCs w:val="18"/>
                <w:lang w:bidi="ar"/>
              </w:rPr>
              <w:t>得分</w:t>
            </w:r>
          </w:p>
        </w:tc>
      </w:tr>
      <w:tr w14:paraId="0038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0" w:type="dxa"/>
            <w:vAlign w:val="center"/>
          </w:tcPr>
          <w:p w14:paraId="0B54A9B3">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w:t>
            </w:r>
          </w:p>
        </w:tc>
        <w:tc>
          <w:tcPr>
            <w:tcW w:w="5953" w:type="dxa"/>
            <w:vAlign w:val="center"/>
          </w:tcPr>
          <w:p w14:paraId="63069F37">
            <w:pPr>
              <w:pStyle w:val="57"/>
              <w:spacing w:line="0" w:lineRule="atLeast"/>
              <w:ind w:firstLine="0" w:firstLineChars="0"/>
              <w:rPr>
                <w:sz w:val="18"/>
                <w:szCs w:val="18"/>
                <w:lang w:bidi="ar"/>
              </w:rPr>
            </w:pPr>
            <w:r>
              <w:rPr>
                <w:rFonts w:hint="eastAsia" w:hAnsi="宋体" w:cs="宋体"/>
                <w:sz w:val="18"/>
                <w:szCs w:val="18"/>
                <w:lang w:bidi="ar"/>
              </w:rPr>
              <w:t>近一年内未发生安全事故</w:t>
            </w:r>
            <w:r>
              <w:rPr>
                <w:rFonts w:hAnsi="宋体" w:cs="宋体"/>
                <w:sz w:val="18"/>
                <w:szCs w:val="18"/>
                <w:lang w:bidi="ar"/>
              </w:rPr>
              <w:t>。</w:t>
            </w:r>
          </w:p>
        </w:tc>
        <w:tc>
          <w:tcPr>
            <w:tcW w:w="709" w:type="dxa"/>
            <w:vAlign w:val="center"/>
          </w:tcPr>
          <w:p w14:paraId="54EF0865">
            <w:pPr>
              <w:pStyle w:val="57"/>
              <w:ind w:firstLine="0" w:firstLineChars="0"/>
              <w:jc w:val="center"/>
              <w:rPr>
                <w:sz w:val="18"/>
                <w:szCs w:val="18"/>
                <w:lang w:bidi="ar"/>
              </w:rPr>
            </w:pPr>
            <w:r>
              <w:rPr>
                <w:rFonts w:hint="eastAsia" w:hAnsi="宋体" w:cs="宋体"/>
                <w:sz w:val="18"/>
                <w:szCs w:val="18"/>
              </w:rPr>
              <w:t>2</w:t>
            </w:r>
          </w:p>
        </w:tc>
        <w:tc>
          <w:tcPr>
            <w:tcW w:w="2126" w:type="dxa"/>
            <w:vAlign w:val="center"/>
          </w:tcPr>
          <w:p w14:paraId="48628BC2">
            <w:pPr>
              <w:pStyle w:val="57"/>
              <w:ind w:firstLine="0" w:firstLineChars="0"/>
              <w:jc w:val="left"/>
              <w:rPr>
                <w:sz w:val="18"/>
                <w:szCs w:val="18"/>
                <w:lang w:bidi="ar"/>
              </w:rPr>
            </w:pPr>
            <w:r>
              <w:rPr>
                <w:rFonts w:hint="eastAsia"/>
                <w:sz w:val="18"/>
                <w:szCs w:val="18"/>
              </w:rPr>
              <w:t>满足得2分。</w:t>
            </w:r>
          </w:p>
        </w:tc>
        <w:tc>
          <w:tcPr>
            <w:tcW w:w="709" w:type="dxa"/>
          </w:tcPr>
          <w:p w14:paraId="0473DD65">
            <w:pPr>
              <w:pStyle w:val="57"/>
              <w:ind w:firstLine="0" w:firstLineChars="0"/>
              <w:rPr>
                <w:sz w:val="18"/>
                <w:szCs w:val="18"/>
                <w:lang w:bidi="ar"/>
              </w:rPr>
            </w:pPr>
          </w:p>
        </w:tc>
      </w:tr>
      <w:tr w14:paraId="2ADB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10" w:type="dxa"/>
            <w:vAlign w:val="center"/>
          </w:tcPr>
          <w:p w14:paraId="35B725AD">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w:t>
            </w:r>
          </w:p>
        </w:tc>
        <w:tc>
          <w:tcPr>
            <w:tcW w:w="5953" w:type="dxa"/>
            <w:vAlign w:val="center"/>
          </w:tcPr>
          <w:p w14:paraId="04A99034">
            <w:pPr>
              <w:pStyle w:val="57"/>
              <w:spacing w:line="0" w:lineRule="atLeast"/>
              <w:ind w:firstLine="0" w:firstLineChars="0"/>
              <w:rPr>
                <w:sz w:val="18"/>
                <w:szCs w:val="18"/>
                <w:lang w:bidi="ar"/>
              </w:rPr>
            </w:pPr>
            <w:r>
              <w:rPr>
                <w:rFonts w:hint="eastAsia" w:hAnsi="宋体" w:cs="宋体"/>
                <w:sz w:val="18"/>
                <w:szCs w:val="18"/>
                <w:lang w:bidi="ar"/>
              </w:rPr>
              <w:t>建筑物钢结构、内外墙、铝塑板等无变形、渗水、锈蚀等安全隐患。</w:t>
            </w:r>
          </w:p>
        </w:tc>
        <w:tc>
          <w:tcPr>
            <w:tcW w:w="709" w:type="dxa"/>
            <w:vAlign w:val="center"/>
          </w:tcPr>
          <w:p w14:paraId="6DF3BDB0">
            <w:pPr>
              <w:pStyle w:val="57"/>
              <w:ind w:firstLine="0" w:firstLineChars="0"/>
              <w:jc w:val="center"/>
              <w:rPr>
                <w:sz w:val="18"/>
                <w:szCs w:val="18"/>
                <w:lang w:bidi="ar"/>
              </w:rPr>
            </w:pPr>
            <w:r>
              <w:rPr>
                <w:rFonts w:hint="eastAsia" w:hAnsi="宋体" w:cs="宋体"/>
                <w:sz w:val="18"/>
                <w:szCs w:val="18"/>
              </w:rPr>
              <w:t>2</w:t>
            </w:r>
          </w:p>
        </w:tc>
        <w:tc>
          <w:tcPr>
            <w:tcW w:w="2126" w:type="dxa"/>
            <w:vAlign w:val="center"/>
          </w:tcPr>
          <w:p w14:paraId="408C037D">
            <w:pPr>
              <w:pStyle w:val="57"/>
              <w:ind w:firstLine="0" w:firstLineChars="0"/>
              <w:jc w:val="left"/>
              <w:rPr>
                <w:sz w:val="18"/>
                <w:szCs w:val="18"/>
                <w:lang w:bidi="ar"/>
              </w:rPr>
            </w:pPr>
            <w:r>
              <w:rPr>
                <w:rFonts w:hint="eastAsia"/>
                <w:sz w:val="18"/>
                <w:szCs w:val="18"/>
              </w:rPr>
              <w:t>满足得2分。</w:t>
            </w:r>
          </w:p>
        </w:tc>
        <w:tc>
          <w:tcPr>
            <w:tcW w:w="709" w:type="dxa"/>
          </w:tcPr>
          <w:p w14:paraId="2B95177E">
            <w:pPr>
              <w:pStyle w:val="57"/>
              <w:ind w:firstLine="0" w:firstLineChars="0"/>
              <w:rPr>
                <w:sz w:val="18"/>
                <w:szCs w:val="18"/>
                <w:lang w:bidi="ar"/>
              </w:rPr>
            </w:pPr>
          </w:p>
        </w:tc>
      </w:tr>
      <w:tr w14:paraId="517A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0" w:type="dxa"/>
            <w:vAlign w:val="center"/>
          </w:tcPr>
          <w:p w14:paraId="4CB64C08">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3</w:t>
            </w:r>
          </w:p>
        </w:tc>
        <w:tc>
          <w:tcPr>
            <w:tcW w:w="5953" w:type="dxa"/>
            <w:vAlign w:val="center"/>
          </w:tcPr>
          <w:p w14:paraId="5AA3D478">
            <w:pPr>
              <w:pStyle w:val="57"/>
              <w:spacing w:line="0" w:lineRule="atLeast"/>
              <w:ind w:firstLine="0" w:firstLineChars="0"/>
              <w:rPr>
                <w:sz w:val="18"/>
                <w:szCs w:val="18"/>
                <w:lang w:bidi="ar"/>
              </w:rPr>
            </w:pPr>
            <w:r>
              <w:rPr>
                <w:rFonts w:hint="eastAsia" w:hAnsi="宋体" w:cs="宋体"/>
                <w:sz w:val="18"/>
                <w:szCs w:val="18"/>
                <w:lang w:bidi="ar"/>
              </w:rPr>
              <w:t>消防、安防、卫生、救护等设备齐全、完好、有效</w:t>
            </w:r>
            <w:r>
              <w:rPr>
                <w:rFonts w:hAnsi="宋体" w:cs="宋体"/>
                <w:sz w:val="18"/>
                <w:szCs w:val="18"/>
                <w:lang w:bidi="ar"/>
              </w:rPr>
              <w:t>。</w:t>
            </w:r>
            <w:r>
              <w:rPr>
                <w:rFonts w:hint="eastAsia" w:hAnsi="宋体" w:cs="宋体"/>
                <w:sz w:val="18"/>
                <w:szCs w:val="18"/>
                <w:lang w:bidi="ar"/>
              </w:rPr>
              <w:t>每年至少组织2次救生应急演练和1次消防及应急疏散演练，并保存记录。</w:t>
            </w:r>
          </w:p>
        </w:tc>
        <w:tc>
          <w:tcPr>
            <w:tcW w:w="709" w:type="dxa"/>
            <w:vAlign w:val="center"/>
          </w:tcPr>
          <w:p w14:paraId="26C5C6DA">
            <w:pPr>
              <w:pStyle w:val="57"/>
              <w:ind w:firstLine="0" w:firstLineChars="0"/>
              <w:jc w:val="center"/>
              <w:rPr>
                <w:sz w:val="18"/>
                <w:szCs w:val="18"/>
                <w:lang w:bidi="ar"/>
              </w:rPr>
            </w:pPr>
            <w:r>
              <w:rPr>
                <w:rFonts w:hint="eastAsia" w:hAnsi="宋体" w:cs="宋体"/>
                <w:sz w:val="18"/>
                <w:szCs w:val="18"/>
              </w:rPr>
              <w:t>2</w:t>
            </w:r>
          </w:p>
        </w:tc>
        <w:tc>
          <w:tcPr>
            <w:tcW w:w="2126" w:type="dxa"/>
            <w:vAlign w:val="center"/>
          </w:tcPr>
          <w:p w14:paraId="6ABA6FEF">
            <w:pPr>
              <w:pStyle w:val="57"/>
              <w:ind w:firstLine="0" w:firstLineChars="0"/>
              <w:jc w:val="left"/>
              <w:rPr>
                <w:sz w:val="18"/>
                <w:szCs w:val="18"/>
                <w:lang w:bidi="ar"/>
              </w:rPr>
            </w:pPr>
            <w:r>
              <w:rPr>
                <w:rFonts w:hint="eastAsia"/>
                <w:sz w:val="18"/>
                <w:szCs w:val="18"/>
              </w:rPr>
              <w:t>满足并提供记录得2分。</w:t>
            </w:r>
          </w:p>
        </w:tc>
        <w:tc>
          <w:tcPr>
            <w:tcW w:w="709" w:type="dxa"/>
          </w:tcPr>
          <w:p w14:paraId="02C05AD3">
            <w:pPr>
              <w:pStyle w:val="57"/>
              <w:ind w:firstLine="0" w:firstLineChars="0"/>
              <w:rPr>
                <w:sz w:val="18"/>
                <w:szCs w:val="18"/>
                <w:lang w:bidi="ar"/>
              </w:rPr>
            </w:pPr>
          </w:p>
        </w:tc>
      </w:tr>
      <w:tr w14:paraId="1913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3851EFE">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4</w:t>
            </w:r>
          </w:p>
        </w:tc>
        <w:tc>
          <w:tcPr>
            <w:tcW w:w="5953" w:type="dxa"/>
            <w:vAlign w:val="center"/>
          </w:tcPr>
          <w:p w14:paraId="2C733B06">
            <w:pPr>
              <w:pStyle w:val="57"/>
              <w:spacing w:line="0" w:lineRule="atLeast"/>
              <w:ind w:firstLine="0" w:firstLineChars="0"/>
              <w:rPr>
                <w:sz w:val="18"/>
                <w:szCs w:val="18"/>
                <w:lang w:bidi="ar"/>
              </w:rPr>
            </w:pPr>
            <w:r>
              <w:rPr>
                <w:rFonts w:hint="eastAsia" w:hAnsi="宋体" w:cs="宋体"/>
                <w:sz w:val="18"/>
                <w:szCs w:val="18"/>
                <w:lang w:bidi="ar"/>
              </w:rPr>
              <w:t>有健全的治安、火灾、地震、设施设备故障、食品卫生、公共卫生等突发事件应急预案。</w:t>
            </w:r>
          </w:p>
        </w:tc>
        <w:tc>
          <w:tcPr>
            <w:tcW w:w="709" w:type="dxa"/>
            <w:vAlign w:val="center"/>
          </w:tcPr>
          <w:p w14:paraId="7D1B5E38">
            <w:pPr>
              <w:pStyle w:val="57"/>
              <w:ind w:firstLine="0" w:firstLineChars="0"/>
              <w:jc w:val="center"/>
              <w:rPr>
                <w:sz w:val="18"/>
                <w:szCs w:val="18"/>
                <w:lang w:bidi="ar"/>
              </w:rPr>
            </w:pPr>
            <w:r>
              <w:rPr>
                <w:rFonts w:hint="eastAsia" w:hAnsi="宋体" w:cs="宋体"/>
                <w:sz w:val="18"/>
                <w:szCs w:val="18"/>
              </w:rPr>
              <w:t>2</w:t>
            </w:r>
          </w:p>
        </w:tc>
        <w:tc>
          <w:tcPr>
            <w:tcW w:w="2126" w:type="dxa"/>
            <w:vAlign w:val="center"/>
          </w:tcPr>
          <w:p w14:paraId="21E2728C">
            <w:pPr>
              <w:pStyle w:val="57"/>
              <w:ind w:firstLine="0" w:firstLineChars="0"/>
              <w:jc w:val="left"/>
              <w:rPr>
                <w:sz w:val="18"/>
                <w:szCs w:val="18"/>
                <w:lang w:bidi="ar"/>
              </w:rPr>
            </w:pPr>
            <w:r>
              <w:rPr>
                <w:rFonts w:hint="eastAsia"/>
                <w:sz w:val="18"/>
                <w:szCs w:val="18"/>
              </w:rPr>
              <w:t>满足得2分。</w:t>
            </w:r>
          </w:p>
        </w:tc>
        <w:tc>
          <w:tcPr>
            <w:tcW w:w="709" w:type="dxa"/>
          </w:tcPr>
          <w:p w14:paraId="6D4AE838">
            <w:pPr>
              <w:pStyle w:val="57"/>
              <w:ind w:firstLine="0" w:firstLineChars="0"/>
              <w:rPr>
                <w:sz w:val="18"/>
                <w:szCs w:val="18"/>
                <w:lang w:bidi="ar"/>
              </w:rPr>
            </w:pPr>
          </w:p>
        </w:tc>
      </w:tr>
      <w:tr w14:paraId="2D2E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71BC4E7">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5</w:t>
            </w:r>
          </w:p>
        </w:tc>
        <w:tc>
          <w:tcPr>
            <w:tcW w:w="5953" w:type="dxa"/>
            <w:vAlign w:val="center"/>
          </w:tcPr>
          <w:p w14:paraId="7392E97B">
            <w:pPr>
              <w:pStyle w:val="57"/>
              <w:spacing w:line="0" w:lineRule="atLeast"/>
              <w:ind w:firstLine="0" w:firstLineChars="0"/>
              <w:rPr>
                <w:sz w:val="18"/>
                <w:szCs w:val="18"/>
                <w:lang w:bidi="ar"/>
              </w:rPr>
            </w:pPr>
            <w:r>
              <w:rPr>
                <w:rFonts w:hint="eastAsia"/>
                <w:sz w:val="18"/>
                <w:szCs w:val="18"/>
                <w:lang w:bidi="ar"/>
              </w:rPr>
              <w:t>应有视频监控系统，数据的保存时间不少于60天。应有覆盖全场的应急广播系统。</w:t>
            </w:r>
          </w:p>
        </w:tc>
        <w:tc>
          <w:tcPr>
            <w:tcW w:w="709" w:type="dxa"/>
            <w:vAlign w:val="center"/>
          </w:tcPr>
          <w:p w14:paraId="22011BE8">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1B3DF78B">
            <w:pPr>
              <w:pStyle w:val="57"/>
              <w:ind w:firstLine="0" w:firstLineChars="0"/>
              <w:jc w:val="left"/>
              <w:rPr>
                <w:sz w:val="18"/>
                <w:szCs w:val="18"/>
                <w:lang w:bidi="ar"/>
              </w:rPr>
            </w:pPr>
            <w:r>
              <w:rPr>
                <w:rFonts w:hint="eastAsia"/>
                <w:sz w:val="18"/>
                <w:szCs w:val="18"/>
              </w:rPr>
              <w:t>具备1项得0.5分，满分1分。</w:t>
            </w:r>
          </w:p>
        </w:tc>
        <w:tc>
          <w:tcPr>
            <w:tcW w:w="709" w:type="dxa"/>
          </w:tcPr>
          <w:p w14:paraId="65D086E6">
            <w:pPr>
              <w:pStyle w:val="57"/>
              <w:ind w:firstLine="0" w:firstLineChars="0"/>
              <w:rPr>
                <w:sz w:val="18"/>
                <w:szCs w:val="18"/>
                <w:lang w:bidi="ar"/>
              </w:rPr>
            </w:pPr>
          </w:p>
        </w:tc>
      </w:tr>
      <w:tr w14:paraId="2D83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B69A1EE">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6</w:t>
            </w:r>
          </w:p>
        </w:tc>
        <w:tc>
          <w:tcPr>
            <w:tcW w:w="5953" w:type="dxa"/>
            <w:vAlign w:val="center"/>
          </w:tcPr>
          <w:p w14:paraId="69D2573B">
            <w:pPr>
              <w:pStyle w:val="57"/>
              <w:spacing w:line="0" w:lineRule="atLeast"/>
              <w:ind w:firstLine="0" w:firstLineChars="0"/>
              <w:rPr>
                <w:sz w:val="18"/>
                <w:szCs w:val="18"/>
                <w:lang w:bidi="ar"/>
              </w:rPr>
            </w:pPr>
            <w:r>
              <w:rPr>
                <w:rFonts w:hint="eastAsia" w:hAnsi="宋体" w:cs="宋体"/>
                <w:sz w:val="18"/>
                <w:szCs w:val="18"/>
                <w:lang w:bidi="ar"/>
              </w:rPr>
              <w:t>火灾自动报警系统应正常运行，各设施设备应保持100%在线率，配备专人负责，并有运行记录和巡检记录。</w:t>
            </w:r>
          </w:p>
        </w:tc>
        <w:tc>
          <w:tcPr>
            <w:tcW w:w="709" w:type="dxa"/>
            <w:vAlign w:val="center"/>
          </w:tcPr>
          <w:p w14:paraId="597B3F0D">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7279198A">
            <w:pPr>
              <w:pStyle w:val="57"/>
              <w:ind w:firstLine="0" w:firstLineChars="0"/>
              <w:jc w:val="left"/>
              <w:rPr>
                <w:sz w:val="18"/>
                <w:szCs w:val="18"/>
                <w:lang w:bidi="ar"/>
              </w:rPr>
            </w:pPr>
            <w:r>
              <w:rPr>
                <w:rFonts w:hint="eastAsia"/>
                <w:sz w:val="18"/>
                <w:szCs w:val="18"/>
              </w:rPr>
              <w:t>满足得1分。</w:t>
            </w:r>
          </w:p>
        </w:tc>
        <w:tc>
          <w:tcPr>
            <w:tcW w:w="709" w:type="dxa"/>
          </w:tcPr>
          <w:p w14:paraId="7025CF55">
            <w:pPr>
              <w:pStyle w:val="57"/>
              <w:ind w:firstLine="0" w:firstLineChars="0"/>
              <w:rPr>
                <w:sz w:val="18"/>
                <w:szCs w:val="18"/>
                <w:lang w:bidi="ar"/>
              </w:rPr>
            </w:pPr>
          </w:p>
        </w:tc>
      </w:tr>
      <w:tr w14:paraId="6290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4F7DEBC">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7</w:t>
            </w:r>
          </w:p>
        </w:tc>
        <w:tc>
          <w:tcPr>
            <w:tcW w:w="5953" w:type="dxa"/>
            <w:vAlign w:val="center"/>
          </w:tcPr>
          <w:p w14:paraId="2A62FB72">
            <w:pPr>
              <w:pStyle w:val="57"/>
              <w:spacing w:line="0" w:lineRule="atLeast"/>
              <w:ind w:firstLine="0" w:firstLineChars="0"/>
              <w:rPr>
                <w:sz w:val="18"/>
                <w:szCs w:val="18"/>
                <w:lang w:bidi="ar"/>
              </w:rPr>
            </w:pPr>
            <w:r>
              <w:rPr>
                <w:rFonts w:hint="eastAsia" w:hAnsi="宋体" w:cs="宋体"/>
                <w:sz w:val="18"/>
                <w:szCs w:val="18"/>
                <w:lang w:bidi="ar"/>
              </w:rPr>
              <w:t>应急出入口、消防通道、电气设备、安保、救护、卫生等安全标识标牌应符合《公共信息图形符号第1部分：通用符号》（GB/T10001.1-20</w:t>
            </w:r>
            <w:r>
              <w:rPr>
                <w:rFonts w:hAnsi="宋体" w:cs="宋体"/>
                <w:sz w:val="18"/>
                <w:szCs w:val="18"/>
                <w:lang w:bidi="ar"/>
              </w:rPr>
              <w:t>23</w:t>
            </w:r>
            <w:r>
              <w:rPr>
                <w:rFonts w:hint="eastAsia" w:hAnsi="宋体" w:cs="宋体"/>
                <w:sz w:val="18"/>
                <w:szCs w:val="18"/>
                <w:lang w:bidi="ar"/>
              </w:rPr>
              <w:t>）的规定，危险区域警示标识清晰可见且设置安全防护设施。</w:t>
            </w:r>
          </w:p>
        </w:tc>
        <w:tc>
          <w:tcPr>
            <w:tcW w:w="709" w:type="dxa"/>
            <w:vAlign w:val="center"/>
          </w:tcPr>
          <w:p w14:paraId="320A6169">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64C65FCA">
            <w:pPr>
              <w:pStyle w:val="57"/>
              <w:ind w:firstLine="0" w:firstLineChars="0"/>
              <w:jc w:val="left"/>
              <w:rPr>
                <w:sz w:val="18"/>
                <w:szCs w:val="18"/>
                <w:lang w:bidi="ar"/>
              </w:rPr>
            </w:pPr>
            <w:r>
              <w:rPr>
                <w:rFonts w:hint="eastAsia"/>
                <w:sz w:val="18"/>
                <w:szCs w:val="18"/>
              </w:rPr>
              <w:t>满足得1分。</w:t>
            </w:r>
          </w:p>
        </w:tc>
        <w:tc>
          <w:tcPr>
            <w:tcW w:w="709" w:type="dxa"/>
          </w:tcPr>
          <w:p w14:paraId="6FF13FBD">
            <w:pPr>
              <w:pStyle w:val="57"/>
              <w:ind w:firstLine="0" w:firstLineChars="0"/>
              <w:rPr>
                <w:sz w:val="18"/>
                <w:szCs w:val="18"/>
                <w:lang w:bidi="ar"/>
              </w:rPr>
            </w:pPr>
          </w:p>
        </w:tc>
      </w:tr>
      <w:tr w14:paraId="6B24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2E9BB5D">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8</w:t>
            </w:r>
          </w:p>
        </w:tc>
        <w:tc>
          <w:tcPr>
            <w:tcW w:w="5953" w:type="dxa"/>
            <w:vAlign w:val="center"/>
          </w:tcPr>
          <w:p w14:paraId="43FA10E9">
            <w:pPr>
              <w:pStyle w:val="57"/>
              <w:spacing w:line="0" w:lineRule="atLeast"/>
              <w:ind w:firstLine="0" w:firstLineChars="0"/>
              <w:rPr>
                <w:sz w:val="18"/>
                <w:szCs w:val="18"/>
                <w:lang w:bidi="ar"/>
              </w:rPr>
            </w:pPr>
            <w:r>
              <w:rPr>
                <w:rFonts w:hint="eastAsia" w:hAnsi="宋体" w:cs="宋体"/>
                <w:sz w:val="18"/>
                <w:szCs w:val="18"/>
                <w:lang w:bidi="ar"/>
              </w:rPr>
              <w:t>应储备必要的消毒剂、手套、体温计、洗手液、防暑等物资，以及常规医疗急救药品和设备，包括纱布、绷带、消毒药物、止血与活血化瘀药、心脏病急救药、小型氧气瓶（袋）、担架等。</w:t>
            </w:r>
          </w:p>
        </w:tc>
        <w:tc>
          <w:tcPr>
            <w:tcW w:w="709" w:type="dxa"/>
            <w:vAlign w:val="center"/>
          </w:tcPr>
          <w:p w14:paraId="03085599">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1C3E0A87">
            <w:pPr>
              <w:pStyle w:val="57"/>
              <w:ind w:firstLine="0" w:firstLineChars="0"/>
              <w:jc w:val="left"/>
              <w:rPr>
                <w:sz w:val="18"/>
                <w:szCs w:val="18"/>
                <w:lang w:bidi="ar"/>
              </w:rPr>
            </w:pPr>
            <w:r>
              <w:rPr>
                <w:rFonts w:hint="eastAsia"/>
                <w:sz w:val="18"/>
                <w:szCs w:val="18"/>
              </w:rPr>
              <w:t>满足得1分。</w:t>
            </w:r>
          </w:p>
        </w:tc>
        <w:tc>
          <w:tcPr>
            <w:tcW w:w="709" w:type="dxa"/>
          </w:tcPr>
          <w:p w14:paraId="3B37AE75">
            <w:pPr>
              <w:pStyle w:val="57"/>
              <w:ind w:firstLine="0" w:firstLineChars="0"/>
              <w:rPr>
                <w:sz w:val="18"/>
                <w:szCs w:val="18"/>
                <w:lang w:bidi="ar"/>
              </w:rPr>
            </w:pPr>
          </w:p>
        </w:tc>
      </w:tr>
      <w:tr w14:paraId="13F8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1888BD4">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9</w:t>
            </w:r>
          </w:p>
        </w:tc>
        <w:tc>
          <w:tcPr>
            <w:tcW w:w="5953" w:type="dxa"/>
            <w:vAlign w:val="center"/>
          </w:tcPr>
          <w:p w14:paraId="14506E8A">
            <w:pPr>
              <w:pStyle w:val="57"/>
              <w:spacing w:line="0" w:lineRule="atLeast"/>
              <w:ind w:firstLine="0" w:firstLineChars="0"/>
              <w:rPr>
                <w:sz w:val="18"/>
                <w:szCs w:val="18"/>
                <w:lang w:bidi="ar"/>
              </w:rPr>
            </w:pPr>
            <w:r>
              <w:rPr>
                <w:rFonts w:hint="eastAsia" w:hAnsi="宋体" w:cs="宋体"/>
                <w:sz w:val="18"/>
                <w:szCs w:val="18"/>
              </w:rPr>
              <w:t>生活饮用水应符合《生活饮用水卫生标准》（GB 5749-2022）的要求，且能提供有效期内的相应证明材料。</w:t>
            </w:r>
          </w:p>
        </w:tc>
        <w:tc>
          <w:tcPr>
            <w:tcW w:w="709" w:type="dxa"/>
            <w:vAlign w:val="center"/>
          </w:tcPr>
          <w:p w14:paraId="789D941A">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45F564DD">
            <w:pPr>
              <w:pStyle w:val="57"/>
              <w:ind w:firstLine="0" w:firstLineChars="0"/>
              <w:jc w:val="left"/>
              <w:rPr>
                <w:sz w:val="18"/>
                <w:szCs w:val="18"/>
                <w:lang w:bidi="ar"/>
              </w:rPr>
            </w:pPr>
            <w:r>
              <w:rPr>
                <w:rFonts w:hint="eastAsia"/>
                <w:sz w:val="18"/>
                <w:szCs w:val="18"/>
              </w:rPr>
              <w:t>符合标准并提供证明材料得1分。</w:t>
            </w:r>
          </w:p>
        </w:tc>
        <w:tc>
          <w:tcPr>
            <w:tcW w:w="709" w:type="dxa"/>
          </w:tcPr>
          <w:p w14:paraId="4E596F1B">
            <w:pPr>
              <w:pStyle w:val="57"/>
              <w:ind w:firstLine="0" w:firstLineChars="0"/>
              <w:rPr>
                <w:sz w:val="18"/>
                <w:szCs w:val="18"/>
                <w:lang w:bidi="ar"/>
              </w:rPr>
            </w:pPr>
          </w:p>
        </w:tc>
      </w:tr>
      <w:tr w14:paraId="0EEB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0682057">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10</w:t>
            </w:r>
          </w:p>
        </w:tc>
        <w:tc>
          <w:tcPr>
            <w:tcW w:w="5953" w:type="dxa"/>
            <w:vAlign w:val="center"/>
          </w:tcPr>
          <w:p w14:paraId="6ED2C354">
            <w:pPr>
              <w:pStyle w:val="57"/>
              <w:spacing w:line="0" w:lineRule="atLeast"/>
              <w:ind w:firstLine="0" w:firstLineChars="0"/>
              <w:rPr>
                <w:sz w:val="18"/>
                <w:szCs w:val="18"/>
                <w:lang w:bidi="ar"/>
              </w:rPr>
            </w:pPr>
            <w:r>
              <w:rPr>
                <w:rFonts w:hint="eastAsia" w:hAnsi="宋体" w:cs="宋体"/>
                <w:sz w:val="18"/>
                <w:szCs w:val="18"/>
              </w:rPr>
              <w:t>声环境质量应符合《声环境质量标准》(GB 3096-2008)的规定，且能提供相应证明材料。</w:t>
            </w:r>
          </w:p>
        </w:tc>
        <w:tc>
          <w:tcPr>
            <w:tcW w:w="709" w:type="dxa"/>
            <w:vAlign w:val="center"/>
          </w:tcPr>
          <w:p w14:paraId="3B1B7D40">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07A37B26">
            <w:pPr>
              <w:pStyle w:val="57"/>
              <w:ind w:firstLine="0" w:firstLineChars="0"/>
              <w:jc w:val="left"/>
              <w:rPr>
                <w:sz w:val="18"/>
                <w:szCs w:val="18"/>
                <w:lang w:bidi="ar"/>
              </w:rPr>
            </w:pPr>
            <w:r>
              <w:rPr>
                <w:rFonts w:hint="eastAsia"/>
                <w:sz w:val="18"/>
                <w:szCs w:val="18"/>
              </w:rPr>
              <w:t>符合标准并提供证明材料得1分。</w:t>
            </w:r>
          </w:p>
        </w:tc>
        <w:tc>
          <w:tcPr>
            <w:tcW w:w="709" w:type="dxa"/>
          </w:tcPr>
          <w:p w14:paraId="1627CC1D">
            <w:pPr>
              <w:pStyle w:val="57"/>
              <w:ind w:firstLine="0" w:firstLineChars="0"/>
              <w:rPr>
                <w:sz w:val="18"/>
                <w:szCs w:val="18"/>
                <w:lang w:bidi="ar"/>
              </w:rPr>
            </w:pPr>
          </w:p>
        </w:tc>
      </w:tr>
      <w:tr w14:paraId="201C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2FEC374">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11</w:t>
            </w:r>
          </w:p>
        </w:tc>
        <w:tc>
          <w:tcPr>
            <w:tcW w:w="5953" w:type="dxa"/>
            <w:vAlign w:val="center"/>
          </w:tcPr>
          <w:p w14:paraId="18C0F152">
            <w:pPr>
              <w:pStyle w:val="57"/>
              <w:spacing w:line="0" w:lineRule="atLeast"/>
              <w:ind w:firstLine="0" w:firstLineChars="0"/>
              <w:rPr>
                <w:sz w:val="18"/>
                <w:szCs w:val="18"/>
                <w:lang w:bidi="ar"/>
              </w:rPr>
            </w:pPr>
            <w:r>
              <w:rPr>
                <w:rFonts w:hint="eastAsia" w:hAnsi="宋体" w:cs="宋体"/>
                <w:sz w:val="18"/>
                <w:szCs w:val="18"/>
              </w:rPr>
              <w:t>室内游泳馆空气质量应符合《室内空气质量标准》(GB/T 18883)和《室内空气中细菌总数卫生标准》（</w:t>
            </w:r>
            <w:r>
              <w:rPr>
                <w:rFonts w:hAnsi="宋体" w:cs="宋体"/>
                <w:sz w:val="18"/>
                <w:szCs w:val="18"/>
              </w:rPr>
              <w:t>GB/T 17093-1997</w:t>
            </w:r>
            <w:r>
              <w:rPr>
                <w:rFonts w:hint="eastAsia" w:hAnsi="宋体" w:cs="宋体"/>
                <w:sz w:val="18"/>
                <w:szCs w:val="18"/>
              </w:rPr>
              <w:t>）的规定，且能提供有效期内的相应证明材料。</w:t>
            </w:r>
          </w:p>
        </w:tc>
        <w:tc>
          <w:tcPr>
            <w:tcW w:w="709" w:type="dxa"/>
            <w:vAlign w:val="center"/>
          </w:tcPr>
          <w:p w14:paraId="362A93ED">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23D215C8">
            <w:pPr>
              <w:pStyle w:val="57"/>
              <w:ind w:firstLine="0" w:firstLineChars="0"/>
              <w:jc w:val="left"/>
              <w:rPr>
                <w:sz w:val="18"/>
                <w:szCs w:val="18"/>
                <w:lang w:bidi="ar"/>
              </w:rPr>
            </w:pPr>
            <w:r>
              <w:rPr>
                <w:rFonts w:hint="eastAsia"/>
                <w:sz w:val="18"/>
                <w:szCs w:val="18"/>
              </w:rPr>
              <w:t xml:space="preserve">符合标准并提供证明材料得1分。    </w:t>
            </w:r>
          </w:p>
        </w:tc>
        <w:tc>
          <w:tcPr>
            <w:tcW w:w="709" w:type="dxa"/>
          </w:tcPr>
          <w:p w14:paraId="07FED7DB">
            <w:pPr>
              <w:pStyle w:val="57"/>
              <w:ind w:firstLine="0" w:firstLineChars="0"/>
              <w:rPr>
                <w:sz w:val="18"/>
                <w:szCs w:val="18"/>
                <w:lang w:bidi="ar"/>
              </w:rPr>
            </w:pPr>
          </w:p>
        </w:tc>
      </w:tr>
      <w:tr w14:paraId="3467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10" w:type="dxa"/>
            <w:vAlign w:val="center"/>
          </w:tcPr>
          <w:p w14:paraId="1BF75F1B">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12</w:t>
            </w:r>
          </w:p>
        </w:tc>
        <w:tc>
          <w:tcPr>
            <w:tcW w:w="5953" w:type="dxa"/>
            <w:vAlign w:val="center"/>
          </w:tcPr>
          <w:p w14:paraId="297A27C1">
            <w:pPr>
              <w:pStyle w:val="57"/>
              <w:spacing w:line="0" w:lineRule="atLeast"/>
              <w:ind w:firstLine="0" w:firstLineChars="0"/>
              <w:rPr>
                <w:sz w:val="18"/>
                <w:szCs w:val="18"/>
                <w:lang w:bidi="ar"/>
              </w:rPr>
            </w:pPr>
            <w:r>
              <w:rPr>
                <w:rFonts w:hint="eastAsia" w:hAnsi="宋体" w:cs="宋体"/>
                <w:sz w:val="18"/>
                <w:szCs w:val="18"/>
              </w:rPr>
              <w:t>游泳池（馆）</w:t>
            </w:r>
            <w:r>
              <w:rPr>
                <w:rFonts w:hint="eastAsia" w:hAnsi="宋体" w:cs="宋体"/>
                <w:sz w:val="18"/>
                <w:szCs w:val="18"/>
                <w:lang w:bidi="ar"/>
              </w:rPr>
              <w:t>公共卫生应符合《公共场所卫生管理规范》（GB 37487-2019）。</w:t>
            </w:r>
          </w:p>
        </w:tc>
        <w:tc>
          <w:tcPr>
            <w:tcW w:w="709" w:type="dxa"/>
            <w:vAlign w:val="center"/>
          </w:tcPr>
          <w:p w14:paraId="7425F34D">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6C9639D6">
            <w:pPr>
              <w:pStyle w:val="57"/>
              <w:ind w:firstLine="0" w:firstLineChars="0"/>
              <w:jc w:val="left"/>
              <w:rPr>
                <w:sz w:val="18"/>
                <w:szCs w:val="18"/>
                <w:lang w:bidi="ar"/>
              </w:rPr>
            </w:pPr>
            <w:r>
              <w:rPr>
                <w:rFonts w:hint="eastAsia"/>
                <w:sz w:val="18"/>
                <w:szCs w:val="18"/>
              </w:rPr>
              <w:t>满足得1分。</w:t>
            </w:r>
          </w:p>
        </w:tc>
        <w:tc>
          <w:tcPr>
            <w:tcW w:w="709" w:type="dxa"/>
          </w:tcPr>
          <w:p w14:paraId="5BADF40F">
            <w:pPr>
              <w:pStyle w:val="57"/>
              <w:ind w:firstLine="0" w:firstLineChars="0"/>
              <w:rPr>
                <w:sz w:val="18"/>
                <w:szCs w:val="18"/>
                <w:lang w:bidi="ar"/>
              </w:rPr>
            </w:pPr>
          </w:p>
        </w:tc>
      </w:tr>
      <w:tr w14:paraId="4113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10" w:type="dxa"/>
            <w:vAlign w:val="center"/>
          </w:tcPr>
          <w:p w14:paraId="7ACC4EFC">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13</w:t>
            </w:r>
          </w:p>
        </w:tc>
        <w:tc>
          <w:tcPr>
            <w:tcW w:w="5953" w:type="dxa"/>
            <w:vAlign w:val="center"/>
          </w:tcPr>
          <w:p w14:paraId="56BCEE9E">
            <w:pPr>
              <w:pStyle w:val="57"/>
              <w:spacing w:line="0" w:lineRule="atLeast"/>
              <w:ind w:firstLine="0" w:firstLineChars="0"/>
              <w:rPr>
                <w:sz w:val="18"/>
                <w:szCs w:val="18"/>
                <w:lang w:bidi="ar"/>
              </w:rPr>
            </w:pPr>
            <w:r>
              <w:rPr>
                <w:rFonts w:hint="eastAsia" w:hAnsi="宋体" w:cs="宋体"/>
                <w:sz w:val="18"/>
                <w:szCs w:val="18"/>
              </w:rPr>
              <w:t>有健全的安全预警机制，参与健身的人数上限符合场地安全要求，并应在容量控制的基础上制定高峰期或赛事举办期疏导预案。</w:t>
            </w:r>
          </w:p>
        </w:tc>
        <w:tc>
          <w:tcPr>
            <w:tcW w:w="709" w:type="dxa"/>
            <w:vAlign w:val="center"/>
          </w:tcPr>
          <w:p w14:paraId="6D0118D8">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3D92D768">
            <w:pPr>
              <w:pStyle w:val="57"/>
              <w:ind w:firstLine="0" w:firstLineChars="0"/>
              <w:jc w:val="left"/>
              <w:rPr>
                <w:sz w:val="18"/>
                <w:szCs w:val="18"/>
                <w:lang w:bidi="ar"/>
              </w:rPr>
            </w:pPr>
            <w:r>
              <w:rPr>
                <w:rFonts w:hint="eastAsia"/>
                <w:sz w:val="18"/>
                <w:szCs w:val="18"/>
              </w:rPr>
              <w:t>满足得1分。</w:t>
            </w:r>
          </w:p>
        </w:tc>
        <w:tc>
          <w:tcPr>
            <w:tcW w:w="709" w:type="dxa"/>
          </w:tcPr>
          <w:p w14:paraId="5B8B445D">
            <w:pPr>
              <w:pStyle w:val="57"/>
              <w:ind w:firstLine="0" w:firstLineChars="0"/>
              <w:rPr>
                <w:sz w:val="18"/>
                <w:szCs w:val="18"/>
                <w:lang w:bidi="ar"/>
              </w:rPr>
            </w:pPr>
          </w:p>
        </w:tc>
      </w:tr>
      <w:tr w14:paraId="5B96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10" w:type="dxa"/>
            <w:vAlign w:val="center"/>
          </w:tcPr>
          <w:p w14:paraId="60D755E0">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14</w:t>
            </w:r>
          </w:p>
        </w:tc>
        <w:tc>
          <w:tcPr>
            <w:tcW w:w="5953" w:type="dxa"/>
            <w:vAlign w:val="center"/>
          </w:tcPr>
          <w:p w14:paraId="4645C4A1">
            <w:pPr>
              <w:pStyle w:val="57"/>
              <w:spacing w:line="0" w:lineRule="atLeast"/>
              <w:ind w:firstLine="0" w:firstLineChars="0"/>
              <w:rPr>
                <w:sz w:val="18"/>
                <w:szCs w:val="18"/>
                <w:lang w:bidi="ar"/>
              </w:rPr>
            </w:pPr>
            <w:r>
              <w:rPr>
                <w:rFonts w:hint="eastAsia" w:hAnsi="宋体" w:cs="宋体"/>
                <w:sz w:val="18"/>
                <w:szCs w:val="18"/>
                <w:lang w:bidi="ar"/>
              </w:rPr>
              <w:t>浴室、卫生间应配备防滑地板，通风良好，无异味。</w:t>
            </w:r>
          </w:p>
        </w:tc>
        <w:tc>
          <w:tcPr>
            <w:tcW w:w="709" w:type="dxa"/>
            <w:vAlign w:val="center"/>
          </w:tcPr>
          <w:p w14:paraId="569EDC0B">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1B964AF6">
            <w:pPr>
              <w:pStyle w:val="57"/>
              <w:ind w:firstLine="0" w:firstLineChars="0"/>
              <w:jc w:val="left"/>
              <w:rPr>
                <w:sz w:val="18"/>
                <w:szCs w:val="18"/>
                <w:lang w:bidi="ar"/>
              </w:rPr>
            </w:pPr>
            <w:r>
              <w:rPr>
                <w:rFonts w:hint="eastAsia"/>
                <w:sz w:val="18"/>
                <w:szCs w:val="18"/>
              </w:rPr>
              <w:t>满足得1分。</w:t>
            </w:r>
          </w:p>
        </w:tc>
        <w:tc>
          <w:tcPr>
            <w:tcW w:w="709" w:type="dxa"/>
          </w:tcPr>
          <w:p w14:paraId="4142889E">
            <w:pPr>
              <w:pStyle w:val="57"/>
              <w:ind w:firstLine="0" w:firstLineChars="0"/>
              <w:rPr>
                <w:sz w:val="18"/>
                <w:szCs w:val="18"/>
                <w:lang w:bidi="ar"/>
              </w:rPr>
            </w:pPr>
          </w:p>
        </w:tc>
      </w:tr>
      <w:tr w14:paraId="1F4C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10" w:type="dxa"/>
            <w:vAlign w:val="center"/>
          </w:tcPr>
          <w:p w14:paraId="4C392521">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15</w:t>
            </w:r>
          </w:p>
        </w:tc>
        <w:tc>
          <w:tcPr>
            <w:tcW w:w="5953" w:type="dxa"/>
            <w:vAlign w:val="center"/>
          </w:tcPr>
          <w:p w14:paraId="7D9B4585">
            <w:pPr>
              <w:pStyle w:val="57"/>
              <w:spacing w:line="0" w:lineRule="atLeast"/>
              <w:ind w:firstLine="0" w:firstLineChars="0"/>
              <w:rPr>
                <w:sz w:val="18"/>
                <w:szCs w:val="18"/>
                <w:lang w:bidi="ar"/>
              </w:rPr>
            </w:pPr>
            <w:r>
              <w:rPr>
                <w:rFonts w:hint="eastAsia" w:hAnsi="宋体" w:cs="宋体"/>
                <w:sz w:val="18"/>
                <w:szCs w:val="18"/>
                <w:lang w:bidi="ar"/>
              </w:rPr>
              <w:t>垃圾杂物的分类、回收、处理、转运科学合理。</w:t>
            </w:r>
          </w:p>
        </w:tc>
        <w:tc>
          <w:tcPr>
            <w:tcW w:w="709" w:type="dxa"/>
            <w:vAlign w:val="center"/>
          </w:tcPr>
          <w:p w14:paraId="40E1F46C">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7907FE43">
            <w:pPr>
              <w:pStyle w:val="57"/>
              <w:ind w:firstLine="0" w:firstLineChars="0"/>
              <w:jc w:val="left"/>
              <w:rPr>
                <w:sz w:val="18"/>
                <w:szCs w:val="18"/>
                <w:lang w:bidi="ar"/>
              </w:rPr>
            </w:pPr>
            <w:r>
              <w:rPr>
                <w:rFonts w:hint="eastAsia"/>
                <w:sz w:val="18"/>
                <w:szCs w:val="18"/>
              </w:rPr>
              <w:t>满足得1分。</w:t>
            </w:r>
          </w:p>
        </w:tc>
        <w:tc>
          <w:tcPr>
            <w:tcW w:w="709" w:type="dxa"/>
          </w:tcPr>
          <w:p w14:paraId="3F738CFC">
            <w:pPr>
              <w:pStyle w:val="57"/>
              <w:ind w:firstLine="0" w:firstLineChars="0"/>
              <w:rPr>
                <w:sz w:val="18"/>
                <w:szCs w:val="18"/>
                <w:lang w:bidi="ar"/>
              </w:rPr>
            </w:pPr>
          </w:p>
        </w:tc>
      </w:tr>
      <w:tr w14:paraId="19CD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10" w:type="dxa"/>
            <w:vAlign w:val="center"/>
          </w:tcPr>
          <w:p w14:paraId="670025EB">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16</w:t>
            </w:r>
          </w:p>
        </w:tc>
        <w:tc>
          <w:tcPr>
            <w:tcW w:w="5953" w:type="dxa"/>
            <w:vAlign w:val="center"/>
          </w:tcPr>
          <w:p w14:paraId="58919B56">
            <w:pPr>
              <w:pStyle w:val="57"/>
              <w:ind w:firstLine="0" w:firstLineChars="0"/>
              <w:rPr>
                <w:sz w:val="18"/>
                <w:szCs w:val="18"/>
                <w:lang w:bidi="ar"/>
              </w:rPr>
            </w:pPr>
            <w:r>
              <w:rPr>
                <w:rFonts w:hint="eastAsia" w:hAnsi="宋体" w:cs="宋体"/>
                <w:sz w:val="18"/>
                <w:szCs w:val="18"/>
              </w:rPr>
              <w:t>购买公众责任保险。</w:t>
            </w:r>
          </w:p>
        </w:tc>
        <w:tc>
          <w:tcPr>
            <w:tcW w:w="709" w:type="dxa"/>
            <w:vAlign w:val="center"/>
          </w:tcPr>
          <w:p w14:paraId="115EA291">
            <w:pPr>
              <w:pStyle w:val="57"/>
              <w:ind w:firstLine="0" w:firstLineChars="0"/>
              <w:jc w:val="center"/>
              <w:rPr>
                <w:sz w:val="18"/>
                <w:szCs w:val="18"/>
                <w:lang w:bidi="ar"/>
              </w:rPr>
            </w:pPr>
            <w:r>
              <w:rPr>
                <w:rFonts w:hint="eastAsia" w:hAnsi="宋体" w:cs="宋体"/>
                <w:sz w:val="18"/>
                <w:szCs w:val="18"/>
              </w:rPr>
              <w:t>1</w:t>
            </w:r>
          </w:p>
        </w:tc>
        <w:tc>
          <w:tcPr>
            <w:tcW w:w="2126" w:type="dxa"/>
            <w:vAlign w:val="center"/>
          </w:tcPr>
          <w:p w14:paraId="338AB2B9">
            <w:pPr>
              <w:pStyle w:val="57"/>
              <w:ind w:firstLine="0" w:firstLineChars="0"/>
              <w:rPr>
                <w:sz w:val="18"/>
                <w:szCs w:val="18"/>
                <w:lang w:bidi="ar"/>
              </w:rPr>
            </w:pPr>
            <w:r>
              <w:rPr>
                <w:rFonts w:hint="eastAsia"/>
                <w:sz w:val="18"/>
                <w:szCs w:val="18"/>
              </w:rPr>
              <w:t>满足得1分。</w:t>
            </w:r>
          </w:p>
        </w:tc>
        <w:tc>
          <w:tcPr>
            <w:tcW w:w="709" w:type="dxa"/>
          </w:tcPr>
          <w:p w14:paraId="36803BB4">
            <w:pPr>
              <w:pStyle w:val="57"/>
              <w:ind w:firstLine="0" w:firstLineChars="0"/>
              <w:rPr>
                <w:sz w:val="18"/>
                <w:szCs w:val="18"/>
                <w:lang w:bidi="ar"/>
              </w:rPr>
            </w:pPr>
          </w:p>
        </w:tc>
      </w:tr>
      <w:tr w14:paraId="6B66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663" w:type="dxa"/>
            <w:gridSpan w:val="2"/>
            <w:vAlign w:val="center"/>
          </w:tcPr>
          <w:p w14:paraId="7FFF8FF0">
            <w:pPr>
              <w:pStyle w:val="57"/>
              <w:ind w:firstLine="0" w:firstLineChars="0"/>
              <w:jc w:val="center"/>
              <w:rPr>
                <w:rFonts w:ascii="黑体" w:hAnsi="黑体" w:eastAsia="黑体"/>
                <w:sz w:val="18"/>
                <w:szCs w:val="18"/>
                <w:lang w:bidi="ar"/>
              </w:rPr>
            </w:pPr>
            <w:r>
              <w:rPr>
                <w:rFonts w:hint="eastAsia" w:ascii="黑体" w:hAnsi="黑体" w:eastAsia="黑体" w:cs="宋体"/>
                <w:sz w:val="18"/>
                <w:szCs w:val="18"/>
              </w:rPr>
              <w:t>指标总分</w:t>
            </w:r>
          </w:p>
        </w:tc>
        <w:tc>
          <w:tcPr>
            <w:tcW w:w="709" w:type="dxa"/>
            <w:vAlign w:val="center"/>
          </w:tcPr>
          <w:p w14:paraId="0EE891F8">
            <w:pPr>
              <w:pStyle w:val="57"/>
              <w:ind w:firstLine="0" w:firstLineChars="0"/>
              <w:jc w:val="center"/>
              <w:rPr>
                <w:sz w:val="18"/>
                <w:szCs w:val="18"/>
                <w:lang w:bidi="ar"/>
              </w:rPr>
            </w:pPr>
            <w:r>
              <w:rPr>
                <w:rFonts w:hint="eastAsia"/>
                <w:sz w:val="18"/>
                <w:szCs w:val="18"/>
                <w:lang w:bidi="ar"/>
              </w:rPr>
              <w:t>20</w:t>
            </w:r>
          </w:p>
        </w:tc>
        <w:tc>
          <w:tcPr>
            <w:tcW w:w="2126" w:type="dxa"/>
            <w:vAlign w:val="center"/>
          </w:tcPr>
          <w:p w14:paraId="5E73E3C7">
            <w:pPr>
              <w:pStyle w:val="57"/>
              <w:ind w:firstLine="0" w:firstLineChars="0"/>
              <w:jc w:val="center"/>
              <w:rPr>
                <w:sz w:val="18"/>
                <w:szCs w:val="18"/>
                <w:lang w:bidi="ar"/>
              </w:rPr>
            </w:pPr>
            <w:r>
              <w:rPr>
                <w:rFonts w:hint="eastAsia" w:hAnsi="宋体" w:cs="宋体"/>
                <w:sz w:val="18"/>
                <w:szCs w:val="18"/>
                <w:lang w:bidi="ar"/>
              </w:rPr>
              <w:t>评定总分</w:t>
            </w:r>
          </w:p>
        </w:tc>
        <w:tc>
          <w:tcPr>
            <w:tcW w:w="709" w:type="dxa"/>
          </w:tcPr>
          <w:p w14:paraId="3EADD366">
            <w:pPr>
              <w:pStyle w:val="57"/>
              <w:ind w:firstLine="0" w:firstLineChars="0"/>
              <w:rPr>
                <w:lang w:bidi="ar"/>
              </w:rPr>
            </w:pPr>
          </w:p>
        </w:tc>
      </w:tr>
    </w:tbl>
    <w:p w14:paraId="32FA7322">
      <w:pPr>
        <w:pStyle w:val="57"/>
        <w:ind w:firstLine="0" w:firstLineChars="0"/>
        <w:rPr>
          <w:lang w:bidi="ar"/>
        </w:rPr>
      </w:pPr>
    </w:p>
    <w:p w14:paraId="795CF35E">
      <w:pPr>
        <w:pStyle w:val="57"/>
        <w:ind w:firstLine="199" w:firstLineChars="95"/>
        <w:rPr>
          <w:lang w:bidi="ar"/>
        </w:rPr>
      </w:pPr>
    </w:p>
    <w:p w14:paraId="63CB7778">
      <w:pPr>
        <w:pStyle w:val="57"/>
        <w:ind w:firstLine="199" w:firstLineChars="95"/>
        <w:rPr>
          <w:lang w:bidi="ar"/>
        </w:rPr>
      </w:pPr>
    </w:p>
    <w:p w14:paraId="67C58A8A">
      <w:pPr>
        <w:pStyle w:val="57"/>
        <w:ind w:firstLine="199" w:firstLineChars="95"/>
        <w:rPr>
          <w:lang w:bidi="ar"/>
        </w:rPr>
      </w:pPr>
    </w:p>
    <w:p w14:paraId="67D92EDA">
      <w:pPr>
        <w:pStyle w:val="57"/>
        <w:ind w:firstLine="199" w:firstLineChars="95"/>
        <w:rPr>
          <w:lang w:bidi="ar"/>
        </w:rPr>
      </w:pPr>
    </w:p>
    <w:p w14:paraId="05887A15">
      <w:pPr>
        <w:rPr>
          <w:rFonts w:hint="eastAsia" w:ascii="宋体" w:eastAsia="宋体"/>
          <w:b/>
          <w:bCs/>
          <w:kern w:val="0"/>
        </w:rPr>
      </w:pPr>
      <w:r>
        <w:rPr>
          <w:rFonts w:hint="eastAsia" w:ascii="宋体" w:eastAsia="宋体"/>
          <w:b/>
          <w:bCs/>
          <w:kern w:val="0"/>
        </w:rPr>
        <w:br w:type="page"/>
      </w:r>
    </w:p>
    <w:p w14:paraId="11134B7F">
      <w:pPr>
        <w:pStyle w:val="78"/>
        <w:numPr>
          <w:ilvl w:val="1"/>
          <w:numId w:val="0"/>
        </w:numPr>
        <w:spacing w:before="120" w:after="120"/>
        <w:jc w:val="center"/>
        <w:rPr>
          <w:highlight w:val="none"/>
          <w:lang w:bidi="ar"/>
        </w:rPr>
      </w:pPr>
      <w:r>
        <w:rPr>
          <w:rFonts w:hint="eastAsia" w:ascii="宋体" w:eastAsia="宋体"/>
          <w:b/>
          <w:bCs/>
          <w:kern w:val="0"/>
          <w:highlight w:val="none"/>
        </w:rPr>
        <w:t>表B.5游泳池（馆）运营管理服务服务质量的加减分项评分表</w:t>
      </w:r>
    </w:p>
    <w:tbl>
      <w:tblPr>
        <w:tblStyle w:val="28"/>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5953"/>
        <w:gridCol w:w="709"/>
        <w:gridCol w:w="2126"/>
        <w:gridCol w:w="709"/>
      </w:tblGrid>
      <w:tr w14:paraId="32C4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64BC80DA">
            <w:pPr>
              <w:pStyle w:val="57"/>
              <w:ind w:firstLine="0" w:firstLineChars="0"/>
              <w:jc w:val="center"/>
              <w:rPr>
                <w:sz w:val="18"/>
                <w:szCs w:val="18"/>
                <w:lang w:bidi="ar"/>
              </w:rPr>
            </w:pPr>
            <w:r>
              <w:rPr>
                <w:rFonts w:hint="eastAsia"/>
                <w:sz w:val="18"/>
                <w:szCs w:val="18"/>
                <w:lang w:bidi="ar"/>
              </w:rPr>
              <w:t>序号</w:t>
            </w:r>
          </w:p>
        </w:tc>
        <w:tc>
          <w:tcPr>
            <w:tcW w:w="5953" w:type="dxa"/>
            <w:vAlign w:val="center"/>
          </w:tcPr>
          <w:p w14:paraId="0787862C">
            <w:pPr>
              <w:pStyle w:val="57"/>
              <w:ind w:firstLine="0" w:firstLineChars="0"/>
              <w:jc w:val="center"/>
              <w:rPr>
                <w:sz w:val="18"/>
                <w:szCs w:val="18"/>
                <w:lang w:bidi="ar"/>
              </w:rPr>
            </w:pPr>
            <w:r>
              <w:rPr>
                <w:rFonts w:hint="eastAsia" w:hAnsi="宋体" w:cs="宋体"/>
                <w:sz w:val="18"/>
                <w:szCs w:val="18"/>
                <w:lang w:bidi="ar"/>
              </w:rPr>
              <w:t>指标</w:t>
            </w:r>
          </w:p>
        </w:tc>
        <w:tc>
          <w:tcPr>
            <w:tcW w:w="709" w:type="dxa"/>
            <w:vAlign w:val="center"/>
          </w:tcPr>
          <w:p w14:paraId="0B5025B5">
            <w:pPr>
              <w:pStyle w:val="57"/>
              <w:ind w:firstLine="0" w:firstLineChars="0"/>
              <w:jc w:val="center"/>
              <w:rPr>
                <w:sz w:val="18"/>
                <w:szCs w:val="18"/>
                <w:lang w:bidi="ar"/>
              </w:rPr>
            </w:pPr>
            <w:r>
              <w:rPr>
                <w:rFonts w:hint="eastAsia" w:hAnsi="宋体" w:cs="宋体"/>
                <w:sz w:val="18"/>
                <w:szCs w:val="18"/>
              </w:rPr>
              <w:t>指标分值</w:t>
            </w:r>
          </w:p>
        </w:tc>
        <w:tc>
          <w:tcPr>
            <w:tcW w:w="2126" w:type="dxa"/>
            <w:vAlign w:val="center"/>
          </w:tcPr>
          <w:p w14:paraId="7CC6EB33">
            <w:pPr>
              <w:pStyle w:val="57"/>
              <w:ind w:firstLine="0" w:firstLineChars="0"/>
              <w:jc w:val="center"/>
              <w:rPr>
                <w:sz w:val="18"/>
                <w:szCs w:val="18"/>
                <w:lang w:bidi="ar"/>
              </w:rPr>
            </w:pPr>
            <w:r>
              <w:rPr>
                <w:rFonts w:hint="eastAsia" w:hAnsi="宋体" w:cs="宋体"/>
                <w:sz w:val="18"/>
                <w:szCs w:val="18"/>
                <w:lang w:bidi="ar"/>
              </w:rPr>
              <w:t>评定办法</w:t>
            </w:r>
          </w:p>
        </w:tc>
        <w:tc>
          <w:tcPr>
            <w:tcW w:w="709" w:type="dxa"/>
            <w:vAlign w:val="center"/>
          </w:tcPr>
          <w:p w14:paraId="36B7E8FA">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评定</w:t>
            </w:r>
          </w:p>
          <w:p w14:paraId="39807C70">
            <w:pPr>
              <w:pStyle w:val="57"/>
              <w:ind w:firstLine="0" w:firstLineChars="0"/>
              <w:jc w:val="center"/>
              <w:rPr>
                <w:sz w:val="18"/>
                <w:szCs w:val="18"/>
                <w:lang w:bidi="ar"/>
              </w:rPr>
            </w:pPr>
            <w:r>
              <w:rPr>
                <w:rFonts w:hint="eastAsia" w:hAnsi="宋体" w:cs="宋体"/>
                <w:sz w:val="18"/>
                <w:szCs w:val="18"/>
                <w:lang w:bidi="ar"/>
              </w:rPr>
              <w:t>得分</w:t>
            </w:r>
          </w:p>
        </w:tc>
      </w:tr>
      <w:tr w14:paraId="4C46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0" w:type="dxa"/>
            <w:vAlign w:val="center"/>
          </w:tcPr>
          <w:p w14:paraId="0538034F">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w:t>
            </w:r>
          </w:p>
        </w:tc>
        <w:tc>
          <w:tcPr>
            <w:tcW w:w="5953" w:type="dxa"/>
            <w:vAlign w:val="center"/>
          </w:tcPr>
          <w:p w14:paraId="12435C29">
            <w:pPr>
              <w:pStyle w:val="57"/>
              <w:spacing w:line="0" w:lineRule="atLeast"/>
              <w:ind w:firstLine="0" w:firstLineChars="0"/>
              <w:rPr>
                <w:sz w:val="18"/>
                <w:szCs w:val="18"/>
                <w:lang w:bidi="ar"/>
              </w:rPr>
            </w:pPr>
            <w:r>
              <w:rPr>
                <w:rFonts w:hint="eastAsia"/>
                <w:sz w:val="18"/>
                <w:szCs w:val="18"/>
                <w:lang w:bidi="ar"/>
              </w:rPr>
              <w:t>开设有能与学校对接的少儿、青少年游泳课程。</w:t>
            </w:r>
          </w:p>
        </w:tc>
        <w:tc>
          <w:tcPr>
            <w:tcW w:w="709" w:type="dxa"/>
            <w:vAlign w:val="center"/>
          </w:tcPr>
          <w:p w14:paraId="280C0530">
            <w:pPr>
              <w:pStyle w:val="57"/>
              <w:ind w:firstLine="0" w:firstLineChars="0"/>
              <w:jc w:val="center"/>
              <w:rPr>
                <w:sz w:val="18"/>
                <w:szCs w:val="18"/>
                <w:lang w:bidi="ar"/>
              </w:rPr>
            </w:pPr>
            <w:r>
              <w:rPr>
                <w:rFonts w:hint="eastAsia"/>
                <w:sz w:val="18"/>
                <w:szCs w:val="18"/>
                <w:lang w:bidi="ar"/>
              </w:rPr>
              <w:t>1</w:t>
            </w:r>
          </w:p>
        </w:tc>
        <w:tc>
          <w:tcPr>
            <w:tcW w:w="2126" w:type="dxa"/>
            <w:vAlign w:val="center"/>
          </w:tcPr>
          <w:p w14:paraId="417699A2">
            <w:pPr>
              <w:pStyle w:val="57"/>
              <w:ind w:firstLine="0" w:firstLineChars="0"/>
              <w:jc w:val="left"/>
              <w:rPr>
                <w:sz w:val="18"/>
                <w:szCs w:val="18"/>
                <w:lang w:bidi="ar"/>
              </w:rPr>
            </w:pPr>
            <w:r>
              <w:rPr>
                <w:rFonts w:hint="eastAsia"/>
                <w:sz w:val="18"/>
                <w:szCs w:val="18"/>
              </w:rPr>
              <w:t>满足得2分。</w:t>
            </w:r>
          </w:p>
        </w:tc>
        <w:tc>
          <w:tcPr>
            <w:tcW w:w="709" w:type="dxa"/>
          </w:tcPr>
          <w:p w14:paraId="1AC3F96E">
            <w:pPr>
              <w:pStyle w:val="57"/>
              <w:ind w:firstLine="0" w:firstLineChars="0"/>
              <w:rPr>
                <w:sz w:val="18"/>
                <w:szCs w:val="18"/>
                <w:lang w:bidi="ar"/>
              </w:rPr>
            </w:pPr>
          </w:p>
        </w:tc>
      </w:tr>
      <w:tr w14:paraId="38E9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10" w:type="dxa"/>
            <w:vAlign w:val="center"/>
          </w:tcPr>
          <w:p w14:paraId="0C70BE64">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w:t>
            </w:r>
          </w:p>
        </w:tc>
        <w:tc>
          <w:tcPr>
            <w:tcW w:w="5953" w:type="dxa"/>
            <w:vAlign w:val="center"/>
          </w:tcPr>
          <w:p w14:paraId="6BE34B78">
            <w:pPr>
              <w:pStyle w:val="57"/>
              <w:spacing w:line="0" w:lineRule="atLeast"/>
              <w:ind w:firstLine="0" w:firstLineChars="0"/>
              <w:rPr>
                <w:sz w:val="18"/>
                <w:szCs w:val="18"/>
                <w:lang w:bidi="ar"/>
              </w:rPr>
            </w:pPr>
            <w:r>
              <w:rPr>
                <w:rFonts w:hint="eastAsia"/>
                <w:sz w:val="18"/>
                <w:szCs w:val="18"/>
                <w:lang w:bidi="ar"/>
              </w:rPr>
              <w:t>近一年来积极参与公益活动.</w:t>
            </w:r>
          </w:p>
        </w:tc>
        <w:tc>
          <w:tcPr>
            <w:tcW w:w="709" w:type="dxa"/>
            <w:vAlign w:val="center"/>
          </w:tcPr>
          <w:p w14:paraId="15553C37">
            <w:pPr>
              <w:pStyle w:val="57"/>
              <w:ind w:firstLine="0" w:firstLineChars="0"/>
              <w:jc w:val="center"/>
              <w:rPr>
                <w:sz w:val="18"/>
                <w:szCs w:val="18"/>
                <w:lang w:bidi="ar"/>
              </w:rPr>
            </w:pPr>
            <w:r>
              <w:rPr>
                <w:rFonts w:hint="eastAsia"/>
                <w:sz w:val="18"/>
                <w:szCs w:val="18"/>
                <w:lang w:bidi="ar"/>
              </w:rPr>
              <w:t>1.5</w:t>
            </w:r>
          </w:p>
        </w:tc>
        <w:tc>
          <w:tcPr>
            <w:tcW w:w="2126" w:type="dxa"/>
            <w:vAlign w:val="center"/>
          </w:tcPr>
          <w:p w14:paraId="4A863AAD">
            <w:pPr>
              <w:pStyle w:val="57"/>
              <w:ind w:firstLine="0" w:firstLineChars="0"/>
              <w:jc w:val="left"/>
              <w:rPr>
                <w:sz w:val="18"/>
                <w:szCs w:val="18"/>
                <w:lang w:bidi="ar"/>
              </w:rPr>
            </w:pPr>
            <w:r>
              <w:rPr>
                <w:rFonts w:hint="eastAsia"/>
                <w:sz w:val="18"/>
                <w:szCs w:val="18"/>
                <w:lang w:bidi="ar"/>
              </w:rPr>
              <w:t>参与1次0.5分，最高加1.5分。</w:t>
            </w:r>
          </w:p>
        </w:tc>
        <w:tc>
          <w:tcPr>
            <w:tcW w:w="709" w:type="dxa"/>
          </w:tcPr>
          <w:p w14:paraId="629083FE">
            <w:pPr>
              <w:pStyle w:val="57"/>
              <w:ind w:firstLine="0" w:firstLineChars="0"/>
              <w:rPr>
                <w:sz w:val="18"/>
                <w:szCs w:val="18"/>
                <w:lang w:bidi="ar"/>
              </w:rPr>
            </w:pPr>
          </w:p>
        </w:tc>
      </w:tr>
      <w:tr w14:paraId="0DCF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0" w:type="dxa"/>
            <w:vAlign w:val="center"/>
          </w:tcPr>
          <w:p w14:paraId="51F96E28">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3</w:t>
            </w:r>
          </w:p>
        </w:tc>
        <w:tc>
          <w:tcPr>
            <w:tcW w:w="5953" w:type="dxa"/>
            <w:vAlign w:val="center"/>
          </w:tcPr>
          <w:p w14:paraId="186F6E59">
            <w:pPr>
              <w:pStyle w:val="57"/>
              <w:spacing w:line="0" w:lineRule="atLeast"/>
              <w:ind w:firstLine="0" w:firstLineChars="0"/>
              <w:rPr>
                <w:sz w:val="18"/>
                <w:szCs w:val="18"/>
                <w:lang w:bidi="ar"/>
              </w:rPr>
            </w:pPr>
            <w:r>
              <w:rPr>
                <w:rFonts w:hint="eastAsia"/>
                <w:sz w:val="18"/>
                <w:szCs w:val="18"/>
                <w:lang w:bidi="ar"/>
              </w:rPr>
              <w:t>近一年来举办过群众性游泳赛事活动。</w:t>
            </w:r>
          </w:p>
        </w:tc>
        <w:tc>
          <w:tcPr>
            <w:tcW w:w="709" w:type="dxa"/>
            <w:vAlign w:val="center"/>
          </w:tcPr>
          <w:p w14:paraId="26044D30">
            <w:pPr>
              <w:pStyle w:val="57"/>
              <w:ind w:firstLine="0" w:firstLineChars="0"/>
              <w:jc w:val="center"/>
              <w:rPr>
                <w:sz w:val="18"/>
                <w:szCs w:val="18"/>
                <w:lang w:bidi="ar"/>
              </w:rPr>
            </w:pPr>
            <w:r>
              <w:rPr>
                <w:rFonts w:hint="eastAsia"/>
                <w:sz w:val="18"/>
                <w:szCs w:val="18"/>
                <w:lang w:bidi="ar"/>
              </w:rPr>
              <w:t>1.5</w:t>
            </w:r>
          </w:p>
        </w:tc>
        <w:tc>
          <w:tcPr>
            <w:tcW w:w="2126" w:type="dxa"/>
            <w:vAlign w:val="center"/>
          </w:tcPr>
          <w:p w14:paraId="6258FA2C">
            <w:pPr>
              <w:pStyle w:val="57"/>
              <w:ind w:firstLine="0" w:firstLineChars="0"/>
              <w:jc w:val="left"/>
              <w:rPr>
                <w:sz w:val="18"/>
                <w:szCs w:val="18"/>
                <w:lang w:bidi="ar"/>
              </w:rPr>
            </w:pPr>
            <w:r>
              <w:rPr>
                <w:rFonts w:hint="eastAsia"/>
                <w:sz w:val="18"/>
                <w:szCs w:val="18"/>
                <w:lang w:bidi="ar"/>
              </w:rPr>
              <w:t>举办1次1分，最高加1.5分</w:t>
            </w:r>
          </w:p>
        </w:tc>
        <w:tc>
          <w:tcPr>
            <w:tcW w:w="709" w:type="dxa"/>
          </w:tcPr>
          <w:p w14:paraId="16B959CF">
            <w:pPr>
              <w:pStyle w:val="57"/>
              <w:ind w:firstLine="0" w:firstLineChars="0"/>
              <w:rPr>
                <w:sz w:val="18"/>
                <w:szCs w:val="18"/>
                <w:lang w:bidi="ar"/>
              </w:rPr>
            </w:pPr>
          </w:p>
        </w:tc>
      </w:tr>
      <w:tr w14:paraId="3D29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10" w:type="dxa"/>
            <w:vAlign w:val="center"/>
          </w:tcPr>
          <w:p w14:paraId="205401DD">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4</w:t>
            </w:r>
          </w:p>
        </w:tc>
        <w:tc>
          <w:tcPr>
            <w:tcW w:w="5953" w:type="dxa"/>
            <w:vAlign w:val="center"/>
          </w:tcPr>
          <w:p w14:paraId="25971A81">
            <w:pPr>
              <w:pStyle w:val="57"/>
              <w:spacing w:line="0" w:lineRule="atLeast"/>
              <w:ind w:firstLine="0" w:firstLineChars="0"/>
              <w:rPr>
                <w:sz w:val="18"/>
                <w:szCs w:val="18"/>
                <w:lang w:bidi="ar"/>
              </w:rPr>
            </w:pPr>
            <w:r>
              <w:rPr>
                <w:rFonts w:hint="eastAsia"/>
                <w:sz w:val="18"/>
                <w:szCs w:val="18"/>
                <w:lang w:bidi="ar"/>
              </w:rPr>
              <w:t>游泳池（馆）场地及房屋所有性质为自有产权。</w:t>
            </w:r>
          </w:p>
        </w:tc>
        <w:tc>
          <w:tcPr>
            <w:tcW w:w="709" w:type="dxa"/>
            <w:vAlign w:val="center"/>
          </w:tcPr>
          <w:p w14:paraId="478C4824">
            <w:pPr>
              <w:pStyle w:val="57"/>
              <w:ind w:firstLine="0" w:firstLineChars="0"/>
              <w:jc w:val="center"/>
              <w:rPr>
                <w:sz w:val="18"/>
                <w:szCs w:val="18"/>
                <w:lang w:bidi="ar"/>
              </w:rPr>
            </w:pPr>
            <w:r>
              <w:rPr>
                <w:rFonts w:hint="eastAsia"/>
                <w:sz w:val="18"/>
                <w:szCs w:val="18"/>
                <w:lang w:bidi="ar"/>
              </w:rPr>
              <w:t>1</w:t>
            </w:r>
          </w:p>
        </w:tc>
        <w:tc>
          <w:tcPr>
            <w:tcW w:w="2126" w:type="dxa"/>
            <w:vAlign w:val="center"/>
          </w:tcPr>
          <w:p w14:paraId="584BE4FE">
            <w:pPr>
              <w:pStyle w:val="57"/>
              <w:ind w:firstLine="0" w:firstLineChars="0"/>
              <w:jc w:val="left"/>
              <w:rPr>
                <w:sz w:val="18"/>
                <w:szCs w:val="18"/>
                <w:lang w:bidi="ar"/>
              </w:rPr>
            </w:pPr>
            <w:r>
              <w:rPr>
                <w:rFonts w:hint="eastAsia"/>
                <w:sz w:val="18"/>
                <w:szCs w:val="18"/>
                <w:lang w:bidi="ar"/>
              </w:rPr>
              <w:t>满足得1分。</w:t>
            </w:r>
          </w:p>
        </w:tc>
        <w:tc>
          <w:tcPr>
            <w:tcW w:w="709" w:type="dxa"/>
          </w:tcPr>
          <w:p w14:paraId="0A6CDD20">
            <w:pPr>
              <w:pStyle w:val="57"/>
              <w:ind w:firstLine="0" w:firstLineChars="0"/>
              <w:rPr>
                <w:sz w:val="18"/>
                <w:szCs w:val="18"/>
                <w:lang w:bidi="ar"/>
              </w:rPr>
            </w:pPr>
          </w:p>
        </w:tc>
      </w:tr>
      <w:tr w14:paraId="5DF2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663" w:type="dxa"/>
            <w:gridSpan w:val="2"/>
            <w:vAlign w:val="center"/>
          </w:tcPr>
          <w:p w14:paraId="5B5A4C52">
            <w:pPr>
              <w:pStyle w:val="57"/>
              <w:spacing w:line="0" w:lineRule="atLeast"/>
              <w:ind w:firstLine="3240" w:firstLineChars="1800"/>
              <w:rPr>
                <w:sz w:val="18"/>
                <w:szCs w:val="18"/>
                <w:lang w:bidi="ar"/>
              </w:rPr>
            </w:pPr>
            <w:r>
              <w:rPr>
                <w:rFonts w:hint="eastAsia" w:ascii="黑体" w:hAnsi="黑体" w:eastAsia="黑体" w:cs="宋体"/>
                <w:sz w:val="18"/>
                <w:szCs w:val="18"/>
              </w:rPr>
              <w:t>指标总分</w:t>
            </w:r>
          </w:p>
        </w:tc>
        <w:tc>
          <w:tcPr>
            <w:tcW w:w="709" w:type="dxa"/>
            <w:vAlign w:val="center"/>
          </w:tcPr>
          <w:p w14:paraId="70D084E2">
            <w:pPr>
              <w:pStyle w:val="57"/>
              <w:ind w:firstLine="0" w:firstLineChars="0"/>
              <w:jc w:val="center"/>
              <w:rPr>
                <w:sz w:val="18"/>
                <w:szCs w:val="18"/>
                <w:lang w:bidi="ar"/>
              </w:rPr>
            </w:pPr>
            <w:r>
              <w:rPr>
                <w:rFonts w:hint="eastAsia"/>
                <w:sz w:val="18"/>
                <w:szCs w:val="18"/>
                <w:lang w:bidi="ar"/>
              </w:rPr>
              <w:t>5</w:t>
            </w:r>
          </w:p>
        </w:tc>
        <w:tc>
          <w:tcPr>
            <w:tcW w:w="2126" w:type="dxa"/>
            <w:vAlign w:val="center"/>
          </w:tcPr>
          <w:p w14:paraId="524FDA65">
            <w:pPr>
              <w:pStyle w:val="57"/>
              <w:spacing w:line="0" w:lineRule="atLeast"/>
              <w:ind w:firstLine="360"/>
              <w:rPr>
                <w:sz w:val="18"/>
                <w:szCs w:val="18"/>
                <w:lang w:bidi="ar"/>
              </w:rPr>
            </w:pPr>
            <w:r>
              <w:rPr>
                <w:rFonts w:hint="eastAsia" w:ascii="黑体" w:hAnsi="黑体" w:eastAsia="黑体" w:cs="宋体"/>
                <w:sz w:val="18"/>
                <w:szCs w:val="18"/>
              </w:rPr>
              <w:t>评定总分</w:t>
            </w:r>
          </w:p>
        </w:tc>
        <w:tc>
          <w:tcPr>
            <w:tcW w:w="709" w:type="dxa"/>
          </w:tcPr>
          <w:p w14:paraId="69C57C8B">
            <w:pPr>
              <w:pStyle w:val="57"/>
              <w:ind w:firstLine="0" w:firstLineChars="0"/>
              <w:rPr>
                <w:sz w:val="18"/>
                <w:szCs w:val="18"/>
                <w:lang w:bidi="ar"/>
              </w:rPr>
            </w:pPr>
          </w:p>
        </w:tc>
      </w:tr>
      <w:tr w14:paraId="125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0C02B7DE">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1</w:t>
            </w:r>
          </w:p>
        </w:tc>
        <w:tc>
          <w:tcPr>
            <w:tcW w:w="5953" w:type="dxa"/>
            <w:vAlign w:val="center"/>
          </w:tcPr>
          <w:p w14:paraId="1FE458E7">
            <w:pPr>
              <w:pStyle w:val="57"/>
              <w:spacing w:line="0" w:lineRule="atLeast"/>
              <w:ind w:firstLine="0" w:firstLineChars="0"/>
              <w:rPr>
                <w:sz w:val="18"/>
                <w:szCs w:val="18"/>
                <w:lang w:bidi="ar"/>
              </w:rPr>
            </w:pPr>
            <w:r>
              <w:rPr>
                <w:rFonts w:hint="eastAsia"/>
                <w:sz w:val="18"/>
                <w:szCs w:val="18"/>
                <w:lang w:bidi="ar"/>
              </w:rPr>
              <w:t>近一年内发生轻微安全事故。</w:t>
            </w:r>
          </w:p>
        </w:tc>
        <w:tc>
          <w:tcPr>
            <w:tcW w:w="709" w:type="dxa"/>
            <w:vAlign w:val="center"/>
          </w:tcPr>
          <w:p w14:paraId="787FADCA">
            <w:pPr>
              <w:pStyle w:val="57"/>
              <w:ind w:firstLine="0" w:firstLineChars="0"/>
              <w:jc w:val="center"/>
              <w:rPr>
                <w:sz w:val="18"/>
                <w:szCs w:val="18"/>
                <w:lang w:bidi="ar"/>
              </w:rPr>
            </w:pPr>
            <w:r>
              <w:rPr>
                <w:rFonts w:hint="eastAsia"/>
                <w:sz w:val="18"/>
                <w:szCs w:val="18"/>
                <w:lang w:bidi="ar"/>
              </w:rPr>
              <w:t>3</w:t>
            </w:r>
          </w:p>
        </w:tc>
        <w:tc>
          <w:tcPr>
            <w:tcW w:w="2126" w:type="dxa"/>
            <w:vAlign w:val="center"/>
          </w:tcPr>
          <w:p w14:paraId="10EFE824">
            <w:pPr>
              <w:pStyle w:val="57"/>
              <w:ind w:firstLine="0" w:firstLineChars="0"/>
              <w:jc w:val="left"/>
              <w:rPr>
                <w:sz w:val="18"/>
                <w:szCs w:val="18"/>
                <w:lang w:bidi="ar"/>
              </w:rPr>
            </w:pPr>
            <w:r>
              <w:rPr>
                <w:rFonts w:hint="eastAsia"/>
                <w:sz w:val="18"/>
                <w:szCs w:val="18"/>
                <w:lang w:bidi="ar"/>
              </w:rPr>
              <w:t>发生1次减1分，最高减3分。</w:t>
            </w:r>
          </w:p>
        </w:tc>
        <w:tc>
          <w:tcPr>
            <w:tcW w:w="709" w:type="dxa"/>
          </w:tcPr>
          <w:p w14:paraId="7BA517DE">
            <w:pPr>
              <w:pStyle w:val="57"/>
              <w:ind w:firstLine="0" w:firstLineChars="0"/>
              <w:rPr>
                <w:sz w:val="18"/>
                <w:szCs w:val="18"/>
                <w:lang w:bidi="ar"/>
              </w:rPr>
            </w:pPr>
          </w:p>
        </w:tc>
      </w:tr>
      <w:tr w14:paraId="0897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4FAEACE7">
            <w:pPr>
              <w:pStyle w:val="57"/>
              <w:ind w:firstLine="0" w:firstLineChars="0"/>
              <w:jc w:val="center"/>
              <w:rPr>
                <w:rFonts w:ascii="黑体" w:hAnsi="黑体" w:eastAsia="黑体"/>
                <w:sz w:val="18"/>
                <w:szCs w:val="18"/>
                <w:lang w:bidi="ar"/>
              </w:rPr>
            </w:pPr>
            <w:r>
              <w:rPr>
                <w:rFonts w:hint="eastAsia" w:ascii="黑体" w:hAnsi="黑体" w:eastAsia="黑体"/>
                <w:sz w:val="18"/>
                <w:szCs w:val="18"/>
                <w:lang w:bidi="ar"/>
              </w:rPr>
              <w:t>2</w:t>
            </w:r>
          </w:p>
        </w:tc>
        <w:tc>
          <w:tcPr>
            <w:tcW w:w="5953" w:type="dxa"/>
            <w:vAlign w:val="center"/>
          </w:tcPr>
          <w:p w14:paraId="5A1E010C">
            <w:pPr>
              <w:pStyle w:val="57"/>
              <w:spacing w:line="0" w:lineRule="atLeast"/>
              <w:ind w:firstLine="0" w:firstLineChars="0"/>
              <w:rPr>
                <w:sz w:val="18"/>
                <w:szCs w:val="18"/>
                <w:lang w:bidi="ar"/>
              </w:rPr>
            </w:pPr>
            <w:r>
              <w:rPr>
                <w:rFonts w:hint="eastAsia"/>
                <w:sz w:val="18"/>
                <w:szCs w:val="18"/>
                <w:lang w:bidi="ar"/>
              </w:rPr>
              <w:t>近一年内顾客投诉情况。</w:t>
            </w:r>
          </w:p>
        </w:tc>
        <w:tc>
          <w:tcPr>
            <w:tcW w:w="709" w:type="dxa"/>
            <w:vAlign w:val="center"/>
          </w:tcPr>
          <w:p w14:paraId="1EAC2E33">
            <w:pPr>
              <w:pStyle w:val="57"/>
              <w:ind w:firstLine="0" w:firstLineChars="0"/>
              <w:jc w:val="center"/>
              <w:rPr>
                <w:sz w:val="18"/>
                <w:szCs w:val="18"/>
                <w:lang w:bidi="ar"/>
              </w:rPr>
            </w:pPr>
            <w:r>
              <w:rPr>
                <w:rFonts w:hint="eastAsia"/>
                <w:sz w:val="18"/>
                <w:szCs w:val="18"/>
                <w:lang w:bidi="ar"/>
              </w:rPr>
              <w:t>2</w:t>
            </w:r>
          </w:p>
        </w:tc>
        <w:tc>
          <w:tcPr>
            <w:tcW w:w="2126" w:type="dxa"/>
            <w:vAlign w:val="center"/>
          </w:tcPr>
          <w:p w14:paraId="23427D28">
            <w:pPr>
              <w:pStyle w:val="57"/>
              <w:ind w:firstLine="0" w:firstLineChars="0"/>
              <w:jc w:val="left"/>
              <w:rPr>
                <w:sz w:val="18"/>
                <w:szCs w:val="18"/>
                <w:lang w:bidi="ar"/>
              </w:rPr>
            </w:pPr>
            <w:r>
              <w:rPr>
                <w:rFonts w:hint="eastAsia"/>
                <w:sz w:val="18"/>
                <w:szCs w:val="18"/>
                <w:lang w:bidi="ar"/>
              </w:rPr>
              <w:t>每接到1次投诉减0.5分，最高减2分。</w:t>
            </w:r>
          </w:p>
        </w:tc>
        <w:tc>
          <w:tcPr>
            <w:tcW w:w="709" w:type="dxa"/>
          </w:tcPr>
          <w:p w14:paraId="76664F32">
            <w:pPr>
              <w:pStyle w:val="57"/>
              <w:ind w:firstLine="0" w:firstLineChars="0"/>
              <w:rPr>
                <w:sz w:val="18"/>
                <w:szCs w:val="18"/>
                <w:lang w:bidi="ar"/>
              </w:rPr>
            </w:pPr>
          </w:p>
        </w:tc>
      </w:tr>
      <w:tr w14:paraId="6E27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663" w:type="dxa"/>
            <w:gridSpan w:val="2"/>
            <w:vAlign w:val="center"/>
          </w:tcPr>
          <w:p w14:paraId="2F436061">
            <w:pPr>
              <w:pStyle w:val="57"/>
              <w:ind w:firstLine="0" w:firstLineChars="0"/>
              <w:jc w:val="center"/>
              <w:rPr>
                <w:rFonts w:ascii="黑体" w:hAnsi="黑体" w:eastAsia="黑体"/>
                <w:sz w:val="18"/>
                <w:szCs w:val="18"/>
                <w:lang w:bidi="ar"/>
              </w:rPr>
            </w:pPr>
            <w:r>
              <w:rPr>
                <w:rFonts w:hint="eastAsia" w:ascii="黑体" w:hAnsi="黑体" w:eastAsia="黑体" w:cs="宋体"/>
                <w:sz w:val="18"/>
                <w:szCs w:val="18"/>
              </w:rPr>
              <w:t xml:space="preserve">       指标总分</w:t>
            </w:r>
          </w:p>
        </w:tc>
        <w:tc>
          <w:tcPr>
            <w:tcW w:w="709" w:type="dxa"/>
            <w:vAlign w:val="center"/>
          </w:tcPr>
          <w:p w14:paraId="3A58DB9A">
            <w:pPr>
              <w:pStyle w:val="57"/>
              <w:ind w:firstLine="0" w:firstLineChars="0"/>
              <w:jc w:val="center"/>
              <w:rPr>
                <w:sz w:val="18"/>
                <w:szCs w:val="18"/>
                <w:lang w:bidi="ar"/>
              </w:rPr>
            </w:pPr>
            <w:r>
              <w:rPr>
                <w:rFonts w:hint="eastAsia"/>
                <w:sz w:val="18"/>
                <w:szCs w:val="18"/>
                <w:lang w:bidi="ar"/>
              </w:rPr>
              <w:t>5</w:t>
            </w:r>
          </w:p>
        </w:tc>
        <w:tc>
          <w:tcPr>
            <w:tcW w:w="2126" w:type="dxa"/>
            <w:vAlign w:val="center"/>
          </w:tcPr>
          <w:p w14:paraId="1068E802">
            <w:pPr>
              <w:pStyle w:val="57"/>
              <w:ind w:firstLine="360"/>
              <w:rPr>
                <w:sz w:val="18"/>
                <w:szCs w:val="18"/>
                <w:lang w:bidi="ar"/>
              </w:rPr>
            </w:pPr>
            <w:r>
              <w:rPr>
                <w:rFonts w:hint="eastAsia" w:ascii="黑体" w:hAnsi="黑体" w:eastAsia="黑体" w:cs="宋体"/>
                <w:sz w:val="18"/>
                <w:szCs w:val="18"/>
              </w:rPr>
              <w:t>评定总分</w:t>
            </w:r>
          </w:p>
        </w:tc>
        <w:tc>
          <w:tcPr>
            <w:tcW w:w="709" w:type="dxa"/>
          </w:tcPr>
          <w:p w14:paraId="674AAB7B">
            <w:pPr>
              <w:pStyle w:val="57"/>
              <w:ind w:firstLine="0" w:firstLineChars="0"/>
              <w:rPr>
                <w:lang w:bidi="ar"/>
              </w:rPr>
            </w:pPr>
          </w:p>
        </w:tc>
      </w:tr>
    </w:tbl>
    <w:p w14:paraId="5060D8E7">
      <w:pPr>
        <w:pStyle w:val="57"/>
        <w:ind w:firstLine="0" w:firstLineChars="0"/>
        <w:rPr>
          <w:lang w:bidi="ar"/>
        </w:rPr>
      </w:pPr>
    </w:p>
    <w:p w14:paraId="0DC7FA7F">
      <w:pPr>
        <w:pStyle w:val="57"/>
        <w:ind w:firstLine="420"/>
        <w:rPr>
          <w:lang w:bidi="ar"/>
        </w:rPr>
      </w:pPr>
    </w:p>
    <w:p w14:paraId="0B506DBA">
      <w:pPr>
        <w:pStyle w:val="57"/>
        <w:ind w:firstLine="4216" w:firstLineChars="2000"/>
        <w:rPr>
          <w:b/>
          <w:bCs/>
          <w:u w:val="single"/>
          <w:lang w:bidi="ar"/>
        </w:rPr>
      </w:pPr>
      <w:r>
        <w:rPr>
          <w:rFonts w:hint="eastAsia"/>
          <w:b/>
          <w:bCs/>
          <w:lang w:bidi="ar"/>
        </w:rPr>
        <w:t>游泳池（馆）运营管理服务质量评定总分：</w:t>
      </w:r>
      <w:r>
        <w:rPr>
          <w:rFonts w:hint="eastAsia"/>
          <w:b/>
          <w:bCs/>
          <w:u w:val="single"/>
          <w:lang w:bidi="ar"/>
        </w:rPr>
        <w:t xml:space="preserve">              </w:t>
      </w:r>
    </w:p>
    <w:p w14:paraId="50037314">
      <w:pPr>
        <w:pStyle w:val="57"/>
        <w:ind w:firstLine="420"/>
        <w:rPr>
          <w:u w:val="single"/>
          <w:lang w:bidi="ar"/>
        </w:rPr>
      </w:pPr>
    </w:p>
    <w:p w14:paraId="57468B52">
      <w:pPr>
        <w:pStyle w:val="57"/>
        <w:ind w:firstLine="0" w:firstLineChars="0"/>
        <w:rPr>
          <w:u w:val="single"/>
          <w:lang w:bidi="ar"/>
        </w:rPr>
      </w:pPr>
    </w:p>
    <w:p w14:paraId="53917038">
      <w:pPr>
        <w:pStyle w:val="57"/>
        <w:ind w:firstLine="0" w:firstLineChars="0"/>
        <w:rPr>
          <w:u w:val="single"/>
          <w:lang w:bidi="ar"/>
        </w:rPr>
      </w:pPr>
    </w:p>
    <w:p w14:paraId="35BACCE6">
      <w:pPr>
        <w:pStyle w:val="57"/>
        <w:ind w:firstLine="0" w:firstLineChars="0"/>
        <w:rPr>
          <w:u w:val="single"/>
          <w:lang w:bidi="ar"/>
        </w:rPr>
      </w:pPr>
    </w:p>
    <w:p w14:paraId="0F33C52B">
      <w:pPr>
        <w:pStyle w:val="57"/>
        <w:ind w:firstLine="0" w:firstLineChars="0"/>
        <w:rPr>
          <w:u w:val="single"/>
          <w:lang w:bidi="ar"/>
        </w:rPr>
      </w:pPr>
    </w:p>
    <w:p w14:paraId="4DEC5523">
      <w:pPr>
        <w:rPr>
          <w:u w:val="single"/>
          <w:lang w:bidi="ar"/>
        </w:rPr>
      </w:pPr>
      <w:r>
        <w:rPr>
          <w:u w:val="single"/>
          <w:lang w:bidi="ar"/>
        </w:rPr>
        <w:br w:type="page"/>
      </w:r>
    </w:p>
    <w:p w14:paraId="35861B30">
      <w:pPr>
        <w:pStyle w:val="199"/>
        <w:rPr>
          <w:vanish w:val="0"/>
          <w:highlight w:val="none"/>
        </w:rPr>
      </w:pPr>
    </w:p>
    <w:p w14:paraId="004C0DCF">
      <w:pPr>
        <w:pStyle w:val="200"/>
        <w:rPr>
          <w:vanish w:val="0"/>
          <w:highlight w:val="none"/>
        </w:rPr>
      </w:pPr>
    </w:p>
    <w:p w14:paraId="1D465F87">
      <w:pPr>
        <w:pStyle w:val="77"/>
        <w:keepNext w:val="0"/>
        <w:keepLines w:val="0"/>
        <w:pageBreakBefore w:val="0"/>
        <w:widowControl/>
        <w:kinsoku/>
        <w:wordWrap/>
        <w:overflowPunct/>
        <w:topLinePunct w:val="0"/>
        <w:bidi w:val="0"/>
        <w:spacing w:before="0" w:beforeLines="0" w:after="0" w:afterLines="0"/>
        <w:jc w:val="center"/>
        <w:rPr>
          <w:highlight w:val="none"/>
        </w:rPr>
      </w:pPr>
      <w:bookmarkStart w:id="46" w:name="_Toc7876"/>
      <w:r>
        <w:rPr>
          <w:highlight w:val="none"/>
        </w:rPr>
        <w:br w:type="textWrapping"/>
      </w:r>
      <w:r>
        <w:rPr>
          <w:rFonts w:hint="eastAsia"/>
          <w:highlight w:val="none"/>
        </w:rPr>
        <w:t>（规范性）</w:t>
      </w:r>
      <w:bookmarkEnd w:id="46"/>
    </w:p>
    <w:p w14:paraId="602B5AC8">
      <w:pPr>
        <w:pStyle w:val="57"/>
        <w:keepNext w:val="0"/>
        <w:keepLines w:val="0"/>
        <w:pageBreakBefore w:val="0"/>
        <w:widowControl/>
        <w:kinsoku/>
        <w:wordWrap/>
        <w:overflowPunct/>
        <w:topLinePunct w:val="0"/>
        <w:bidi w:val="0"/>
        <w:ind w:left="0" w:leftChars="0" w:firstLine="0" w:firstLineChars="0"/>
        <w:jc w:val="center"/>
        <w:rPr>
          <w:rFonts w:ascii="黑体" w:eastAsia="黑体"/>
          <w:highlight w:val="none"/>
        </w:rPr>
      </w:pPr>
      <w:r>
        <w:rPr>
          <w:rFonts w:hint="eastAsia" w:ascii="黑体" w:eastAsia="黑体"/>
          <w:highlight w:val="none"/>
        </w:rPr>
        <w:t>星级游泳池（馆）必备项目检查表</w:t>
      </w:r>
    </w:p>
    <w:p w14:paraId="410E0B78">
      <w:pPr>
        <w:pStyle w:val="78"/>
        <w:keepNext w:val="0"/>
        <w:keepLines w:val="0"/>
        <w:pageBreakBefore w:val="0"/>
        <w:widowControl/>
        <w:numPr>
          <w:ilvl w:val="1"/>
          <w:numId w:val="0"/>
        </w:numPr>
        <w:kinsoku/>
        <w:wordWrap/>
        <w:overflowPunct/>
        <w:topLinePunct w:val="0"/>
        <w:bidi w:val="0"/>
        <w:spacing w:before="0" w:beforeLines="0" w:after="0" w:afterLines="0"/>
        <w:jc w:val="center"/>
        <w:rPr>
          <w:highlight w:val="none"/>
          <w:lang w:bidi="ar"/>
        </w:rPr>
      </w:pPr>
      <w:r>
        <w:rPr>
          <w:rFonts w:hint="eastAsia"/>
          <w:highlight w:val="none"/>
          <w:lang w:bidi="ar"/>
        </w:rPr>
        <w:t>表C.1五星级游泳池（馆）必备项目检查表</w:t>
      </w:r>
    </w:p>
    <w:tbl>
      <w:tblPr>
        <w:tblStyle w:val="28"/>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685"/>
        <w:gridCol w:w="1485"/>
      </w:tblGrid>
      <w:tr w14:paraId="2C87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140747">
            <w:pPr>
              <w:jc w:val="center"/>
            </w:pPr>
            <w:r>
              <w:rPr>
                <w:rFonts w:hint="eastAsia"/>
              </w:rPr>
              <w:t>序号</w:t>
            </w:r>
          </w:p>
        </w:tc>
        <w:tc>
          <w:tcPr>
            <w:tcW w:w="7685" w:type="dxa"/>
          </w:tcPr>
          <w:p w14:paraId="1BE025D5">
            <w:pPr>
              <w:jc w:val="center"/>
            </w:pPr>
            <w:r>
              <w:rPr>
                <w:rFonts w:hint="eastAsia"/>
              </w:rPr>
              <w:t>评价内容</w:t>
            </w:r>
          </w:p>
        </w:tc>
        <w:tc>
          <w:tcPr>
            <w:tcW w:w="1485" w:type="dxa"/>
          </w:tcPr>
          <w:p w14:paraId="2C2E6F1B">
            <w:pPr>
              <w:jc w:val="center"/>
            </w:pPr>
            <w:r>
              <w:rPr>
                <w:rFonts w:hint="eastAsia"/>
              </w:rPr>
              <w:t>是否达标</w:t>
            </w:r>
          </w:p>
        </w:tc>
      </w:tr>
      <w:tr w14:paraId="5AF8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270EB4C">
            <w:pPr>
              <w:jc w:val="center"/>
            </w:pPr>
            <w:r>
              <w:t>1</w:t>
            </w:r>
          </w:p>
        </w:tc>
        <w:tc>
          <w:tcPr>
            <w:tcW w:w="7685" w:type="dxa"/>
          </w:tcPr>
          <w:p w14:paraId="0B285244">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rPr>
            </w:pPr>
            <w:r>
              <w:rPr>
                <w:rFonts w:hint="eastAsia"/>
              </w:rPr>
              <w:t>应有一个标准的游泳长池和热身池，其规格应符合GB/T22517.2-2024的规定。泳池周边应设置防滑地面（宽度≥1.5m）、排水槽、扶手栏杆，预留救生通道。</w:t>
            </w:r>
          </w:p>
        </w:tc>
        <w:tc>
          <w:tcPr>
            <w:tcW w:w="1485" w:type="dxa"/>
          </w:tcPr>
          <w:p w14:paraId="07A452D4"/>
        </w:tc>
      </w:tr>
      <w:tr w14:paraId="2CF0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9B0B850">
            <w:pPr>
              <w:jc w:val="center"/>
            </w:pPr>
            <w:r>
              <w:t>2</w:t>
            </w:r>
          </w:p>
          <w:p w14:paraId="36832FC0">
            <w:pPr>
              <w:jc w:val="center"/>
            </w:pPr>
          </w:p>
        </w:tc>
        <w:tc>
          <w:tcPr>
            <w:tcW w:w="7685" w:type="dxa"/>
          </w:tcPr>
          <w:p w14:paraId="6E0846D3">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rPr>
            </w:pPr>
            <w:r>
              <w:rPr>
                <w:rFonts w:hint="eastAsia"/>
              </w:rPr>
              <w:t>配套服务区域应设有更衣室、淋浴区、卫生间（含无障碍设施）、休息等候区、饮水区（提供直饮水）、储物区域、售卖区；安全保障区域应设置救生管理区、急救室；运营管理区域应设置前台接待区、办公区、设备机房、管理辅助区、疏散通道；且功能设置、面积大小、位置分布及场所内外装饰风格等布局合理、功能齐全。所有配套服务区域同时应符合GB／T34311-2017要求。</w:t>
            </w:r>
          </w:p>
        </w:tc>
        <w:tc>
          <w:tcPr>
            <w:tcW w:w="1485" w:type="dxa"/>
          </w:tcPr>
          <w:p w14:paraId="0549BCB2"/>
        </w:tc>
      </w:tr>
      <w:tr w14:paraId="07AE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1F4DAA0">
            <w:pPr>
              <w:jc w:val="center"/>
            </w:pPr>
            <w:r>
              <w:t>3</w:t>
            </w:r>
          </w:p>
          <w:p w14:paraId="14D0B169">
            <w:pPr>
              <w:jc w:val="center"/>
            </w:pPr>
          </w:p>
        </w:tc>
        <w:tc>
          <w:tcPr>
            <w:tcW w:w="7685" w:type="dxa"/>
          </w:tcPr>
          <w:p w14:paraId="70EF05B1">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rPr>
            </w:pPr>
            <w:r>
              <w:rPr>
                <w:rFonts w:hint="eastAsia"/>
              </w:rPr>
              <w:t>社会体育指导员（游泳）开展教学（培训）服务的应提前公示班级人数配比和课时时长，做好学员的安全防范工作，应提前制定教学计划，保证学员了解学习总体进程，在教学过程中关注学员的人身安全，对学员的不安全行为予以制止，出现意外伤害情况应配合救生员进行急救处理。社会体育指导员（游泳）的安全指导应符合 GB/T34285的规定。</w:t>
            </w:r>
          </w:p>
        </w:tc>
        <w:tc>
          <w:tcPr>
            <w:tcW w:w="1485" w:type="dxa"/>
          </w:tcPr>
          <w:p w14:paraId="67E0B18C"/>
        </w:tc>
      </w:tr>
      <w:tr w14:paraId="53F5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76DA6B1">
            <w:pPr>
              <w:jc w:val="center"/>
            </w:pPr>
            <w:r>
              <w:t>4</w:t>
            </w:r>
          </w:p>
          <w:p w14:paraId="2023ABCA">
            <w:pPr>
              <w:jc w:val="center"/>
            </w:pPr>
          </w:p>
        </w:tc>
        <w:tc>
          <w:tcPr>
            <w:tcW w:w="7685" w:type="dxa"/>
          </w:tcPr>
          <w:p w14:paraId="44ADAE03">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rPr>
            </w:pPr>
            <w:r>
              <w:rPr>
                <w:rFonts w:hint="eastAsia"/>
              </w:rPr>
              <w:t>游泳池（馆）内外公共信息符号（标识）应符合GB／T34311-2017，安 全 标 志 和 标 签 设 置 应 符 合GB/T34289的规定，并具有中英文标识。设有特殊人群关怀泳道、水中健身康复泳道的，应设有相关功能区域标识标牌，能够为这些特定人群提供明确的活动区域，避免与其他游泳者发生冲突，保障其安全和康复效果。</w:t>
            </w:r>
          </w:p>
        </w:tc>
        <w:tc>
          <w:tcPr>
            <w:tcW w:w="1485" w:type="dxa"/>
          </w:tcPr>
          <w:p w14:paraId="17320EE0"/>
        </w:tc>
      </w:tr>
      <w:tr w14:paraId="0E07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B6D7281">
            <w:pPr>
              <w:jc w:val="center"/>
            </w:pPr>
            <w:r>
              <w:t>5</w:t>
            </w:r>
          </w:p>
          <w:p w14:paraId="3D060534">
            <w:pPr>
              <w:jc w:val="center"/>
            </w:pPr>
          </w:p>
        </w:tc>
        <w:tc>
          <w:tcPr>
            <w:tcW w:w="7685" w:type="dxa"/>
          </w:tcPr>
          <w:p w14:paraId="787EC361">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rPr>
            </w:pPr>
            <w:r>
              <w:rPr>
                <w:rFonts w:hint="eastAsia"/>
              </w:rPr>
              <w:t>场地内空气质量应符合 GB/T18883的规定，声环境质量应符合 GB3096—2008的一类标准。</w:t>
            </w:r>
          </w:p>
        </w:tc>
        <w:tc>
          <w:tcPr>
            <w:tcW w:w="1485" w:type="dxa"/>
          </w:tcPr>
          <w:p w14:paraId="541036BB"/>
        </w:tc>
      </w:tr>
      <w:tr w14:paraId="2200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A319C0B">
            <w:pPr>
              <w:jc w:val="center"/>
            </w:pPr>
            <w:r>
              <w:rPr>
                <w:rFonts w:hint="eastAsia"/>
              </w:rPr>
              <w:t>6</w:t>
            </w:r>
          </w:p>
          <w:p w14:paraId="4018461F">
            <w:pPr>
              <w:jc w:val="center"/>
            </w:pPr>
          </w:p>
        </w:tc>
        <w:tc>
          <w:tcPr>
            <w:tcW w:w="7685" w:type="dxa"/>
          </w:tcPr>
          <w:p w14:paraId="4929E358">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rPr>
            </w:pPr>
            <w:r>
              <w:rPr>
                <w:rFonts w:hint="eastAsia"/>
              </w:rPr>
              <w:t>场地内所有区域空间温度应保持在22 ℃~28 ℃(夏季)和16 ℃~24 ℃(冬季)，应具有通风、排气、空气循环等系统装置，并正常运转。游泳池的水温应不低于26℃（室内恒温游泳馆水温宜在23℃～30℃之间）。</w:t>
            </w:r>
          </w:p>
        </w:tc>
        <w:tc>
          <w:tcPr>
            <w:tcW w:w="1485" w:type="dxa"/>
          </w:tcPr>
          <w:p w14:paraId="3668ABA1"/>
        </w:tc>
      </w:tr>
      <w:tr w14:paraId="755C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DAED409">
            <w:pPr>
              <w:jc w:val="center"/>
            </w:pPr>
            <w:r>
              <w:rPr>
                <w:rFonts w:hint="eastAsia"/>
              </w:rPr>
              <w:t>7</w:t>
            </w:r>
          </w:p>
          <w:p w14:paraId="6B202EA1">
            <w:pPr>
              <w:jc w:val="center"/>
            </w:pPr>
          </w:p>
        </w:tc>
        <w:tc>
          <w:tcPr>
            <w:tcW w:w="7685" w:type="dxa"/>
          </w:tcPr>
          <w:p w14:paraId="1F1B358A">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rPr>
            </w:pPr>
            <w:r>
              <w:rPr>
                <w:rFonts w:hint="eastAsia"/>
              </w:rPr>
              <w:t>场地内所有区 域 卫 生 情 况 应 符 合 GB37488 的 规 定，灯 光 照 明 应 符 合 GB/T50034—2024 中5.3.13.1的规定。</w:t>
            </w:r>
          </w:p>
        </w:tc>
        <w:tc>
          <w:tcPr>
            <w:tcW w:w="1485" w:type="dxa"/>
          </w:tcPr>
          <w:p w14:paraId="39F26988"/>
        </w:tc>
      </w:tr>
      <w:tr w14:paraId="6586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76BD6A4">
            <w:pPr>
              <w:jc w:val="center"/>
            </w:pPr>
            <w:r>
              <w:rPr>
                <w:rFonts w:hint="eastAsia"/>
              </w:rPr>
              <w:t>8</w:t>
            </w:r>
          </w:p>
        </w:tc>
        <w:tc>
          <w:tcPr>
            <w:tcW w:w="7685" w:type="dxa"/>
          </w:tcPr>
          <w:p w14:paraId="39745DAE">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rPr>
            </w:pPr>
            <w:r>
              <w:rPr>
                <w:rFonts w:hint="eastAsia"/>
              </w:rPr>
              <w:t>场地设施应能举办中大型游泳赛事活动，宜设置不少于500个座椅的观众区，并有相适应的赛事服务保障能力。</w:t>
            </w:r>
          </w:p>
        </w:tc>
        <w:tc>
          <w:tcPr>
            <w:tcW w:w="1485" w:type="dxa"/>
          </w:tcPr>
          <w:p w14:paraId="28765FBE"/>
        </w:tc>
      </w:tr>
      <w:tr w14:paraId="1434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FA509CA">
            <w:pPr>
              <w:jc w:val="center"/>
            </w:pPr>
            <w:r>
              <w:t>9</w:t>
            </w:r>
          </w:p>
          <w:p w14:paraId="3E5E1EDC">
            <w:pPr>
              <w:jc w:val="center"/>
            </w:pPr>
          </w:p>
        </w:tc>
        <w:tc>
          <w:tcPr>
            <w:tcW w:w="7685" w:type="dxa"/>
          </w:tcPr>
          <w:p w14:paraId="1B0F9040">
            <w:pPr>
              <w:keepNext w:val="0"/>
              <w:keepLines w:val="0"/>
              <w:pageBreakBefore w:val="0"/>
              <w:widowControl w:val="0"/>
              <w:kinsoku/>
              <w:wordWrap/>
              <w:overflowPunct/>
              <w:topLinePunct w:val="0"/>
              <w:autoSpaceDE/>
              <w:autoSpaceDN/>
              <w:bidi w:val="0"/>
              <w:adjustRightInd w:val="0"/>
              <w:snapToGrid/>
              <w:spacing w:line="360" w:lineRule="exact"/>
              <w:textAlignment w:val="auto"/>
              <w:rPr>
                <w:rFonts w:hint="eastAsia"/>
              </w:rPr>
            </w:pPr>
            <w:r>
              <w:rPr>
                <w:rFonts w:hint="eastAsia"/>
              </w:rPr>
              <w:t>场地内外应安装防火、警护、视频监控设施，儿童或残疾人等安全保障设备，设施配置应完整、摆放位置合理、能够正常运转。</w:t>
            </w:r>
          </w:p>
        </w:tc>
        <w:tc>
          <w:tcPr>
            <w:tcW w:w="1485" w:type="dxa"/>
          </w:tcPr>
          <w:p w14:paraId="55FA04AA"/>
        </w:tc>
      </w:tr>
      <w:tr w14:paraId="4C43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33A6D75">
            <w:pPr>
              <w:jc w:val="center"/>
            </w:pPr>
            <w:r>
              <w:t>10</w:t>
            </w:r>
          </w:p>
          <w:p w14:paraId="3C30CA19">
            <w:pPr>
              <w:jc w:val="center"/>
            </w:pPr>
          </w:p>
        </w:tc>
        <w:tc>
          <w:tcPr>
            <w:tcW w:w="7685" w:type="dxa"/>
          </w:tcPr>
          <w:p w14:paraId="16AAD25F">
            <w:pPr>
              <w:keepNext w:val="0"/>
              <w:keepLines w:val="0"/>
              <w:pageBreakBefore w:val="0"/>
              <w:widowControl w:val="0"/>
              <w:kinsoku/>
              <w:wordWrap/>
              <w:overflowPunct/>
              <w:topLinePunct w:val="0"/>
              <w:autoSpaceDE/>
              <w:autoSpaceDN/>
              <w:bidi w:val="0"/>
              <w:adjustRightInd w:val="0"/>
              <w:snapToGrid/>
              <w:spacing w:line="360" w:lineRule="exact"/>
              <w:textAlignment w:val="auto"/>
            </w:pPr>
            <w:r>
              <w:rPr>
                <w:rFonts w:hint="eastAsia"/>
              </w:rPr>
              <w:t>场地内配备常规医疗急救药品及设备，包括消毒包扎药物材料等，且药品及设备的摆放位置具。</w:t>
            </w:r>
          </w:p>
        </w:tc>
        <w:tc>
          <w:tcPr>
            <w:tcW w:w="1485" w:type="dxa"/>
          </w:tcPr>
          <w:p w14:paraId="0101A9A6"/>
        </w:tc>
      </w:tr>
    </w:tbl>
    <w:p w14:paraId="5163DFED">
      <w:pPr>
        <w:pStyle w:val="57"/>
        <w:ind w:firstLine="0" w:firstLineChars="0"/>
        <w:rPr>
          <w:lang w:bidi="ar"/>
        </w:rPr>
      </w:pPr>
    </w:p>
    <w:p w14:paraId="73F7ED48">
      <w:pPr>
        <w:pStyle w:val="57"/>
        <w:ind w:firstLine="420"/>
        <w:rPr>
          <w:lang w:bidi="ar"/>
        </w:rPr>
      </w:pPr>
    </w:p>
    <w:p w14:paraId="31E2CFA4">
      <w:pPr>
        <w:pStyle w:val="78"/>
        <w:numPr>
          <w:ilvl w:val="1"/>
          <w:numId w:val="0"/>
        </w:numPr>
        <w:spacing w:before="120" w:after="120"/>
        <w:jc w:val="center"/>
        <w:rPr>
          <w:rFonts w:hint="eastAsia" w:ascii="宋体" w:eastAsia="宋体"/>
          <w:b/>
          <w:bCs/>
          <w:kern w:val="0"/>
          <w:highlight w:val="none"/>
        </w:rPr>
      </w:pPr>
      <w:r>
        <w:rPr>
          <w:rFonts w:hint="eastAsia" w:ascii="宋体" w:eastAsia="宋体"/>
          <w:b/>
          <w:bCs/>
          <w:kern w:val="0"/>
          <w:highlight w:val="none"/>
        </w:rPr>
        <w:t>表C.2四星级游泳池（馆）必备项目检查表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521"/>
        <w:gridCol w:w="1326"/>
      </w:tblGrid>
      <w:tr w14:paraId="0978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BF6C1AB">
            <w:pPr>
              <w:jc w:val="center"/>
            </w:pPr>
            <w:r>
              <w:rPr>
                <w:rFonts w:hint="eastAsia"/>
              </w:rPr>
              <w:t>序号</w:t>
            </w:r>
          </w:p>
        </w:tc>
        <w:tc>
          <w:tcPr>
            <w:tcW w:w="6521" w:type="dxa"/>
          </w:tcPr>
          <w:p w14:paraId="39BB728C">
            <w:pPr>
              <w:jc w:val="center"/>
            </w:pPr>
            <w:r>
              <w:rPr>
                <w:rFonts w:hint="eastAsia"/>
              </w:rPr>
              <w:t>评价内容</w:t>
            </w:r>
          </w:p>
        </w:tc>
        <w:tc>
          <w:tcPr>
            <w:tcW w:w="1326" w:type="dxa"/>
          </w:tcPr>
          <w:p w14:paraId="7B8CBC41">
            <w:pPr>
              <w:jc w:val="center"/>
            </w:pPr>
            <w:r>
              <w:rPr>
                <w:rFonts w:hint="eastAsia"/>
              </w:rPr>
              <w:t>是否达标</w:t>
            </w:r>
          </w:p>
        </w:tc>
      </w:tr>
      <w:tr w14:paraId="247A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1478B385">
            <w:pPr>
              <w:jc w:val="center"/>
            </w:pPr>
            <w:r>
              <w:t>1</w:t>
            </w:r>
          </w:p>
        </w:tc>
        <w:tc>
          <w:tcPr>
            <w:tcW w:w="6521" w:type="dxa"/>
          </w:tcPr>
          <w:p w14:paraId="0D41165B">
            <w:r>
              <w:rPr>
                <w:rFonts w:hint="eastAsia"/>
              </w:rPr>
              <w:t>应至少有一个标准的短池，其规格应符合GB/T22517.2-2024的规定。泳池周边应设置防滑地面、排水槽、扶手栏杆，预留救生通道。</w:t>
            </w:r>
          </w:p>
        </w:tc>
        <w:tc>
          <w:tcPr>
            <w:tcW w:w="1326" w:type="dxa"/>
          </w:tcPr>
          <w:p w14:paraId="30ADA6D4"/>
        </w:tc>
      </w:tr>
      <w:tr w14:paraId="047C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30EAD15">
            <w:pPr>
              <w:jc w:val="center"/>
            </w:pPr>
            <w:r>
              <w:t>2</w:t>
            </w:r>
          </w:p>
          <w:p w14:paraId="00BF6FB3">
            <w:pPr>
              <w:jc w:val="center"/>
            </w:pPr>
          </w:p>
        </w:tc>
        <w:tc>
          <w:tcPr>
            <w:tcW w:w="6521" w:type="dxa"/>
          </w:tcPr>
          <w:p w14:paraId="17E3C798">
            <w:pPr>
              <w:rPr>
                <w:rFonts w:eastAsiaTheme="minorEastAsia"/>
              </w:rPr>
            </w:pPr>
            <w:r>
              <w:rPr>
                <w:rFonts w:hint="eastAsia"/>
              </w:rPr>
              <w:t>配套服务区域应设有更衣室、淋浴区、卫生间（含无障碍设施）、休息等候区、储物区域；安全保障区域应设置救生管理区；运营管理区域应设置前台接待区、办公区、设备机房、疏散通道；且功能设置、面积大小、位置分布等满足运营管理需要。所有配套服务区域同时应符合GB</w:t>
            </w:r>
            <w:r>
              <w:t>／</w:t>
            </w:r>
            <w:r>
              <w:rPr>
                <w:rFonts w:hint="eastAsia"/>
              </w:rPr>
              <w:t>T34311-2017要求。</w:t>
            </w:r>
          </w:p>
        </w:tc>
        <w:tc>
          <w:tcPr>
            <w:tcW w:w="1326" w:type="dxa"/>
          </w:tcPr>
          <w:p w14:paraId="235411A2"/>
        </w:tc>
      </w:tr>
      <w:tr w14:paraId="0480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1F7A7D52">
            <w:pPr>
              <w:jc w:val="center"/>
            </w:pPr>
            <w:r>
              <w:t>3</w:t>
            </w:r>
          </w:p>
          <w:p w14:paraId="220E6E04">
            <w:pPr>
              <w:jc w:val="center"/>
            </w:pPr>
          </w:p>
        </w:tc>
        <w:tc>
          <w:tcPr>
            <w:tcW w:w="6521" w:type="dxa"/>
          </w:tcPr>
          <w:p w14:paraId="44CE8698">
            <w:r>
              <w:rPr>
                <w:rFonts w:hint="eastAsia"/>
              </w:rPr>
              <w:t>社会体育指导员（游泳）</w:t>
            </w:r>
            <w:r>
              <w:t>开展教学（培训）服务的应提前公示班级人数配比和课时时长</w:t>
            </w:r>
            <w:r>
              <w:rPr>
                <w:rFonts w:hint="eastAsia"/>
              </w:rPr>
              <w:t>，应</w:t>
            </w:r>
            <w:r>
              <w:t>提前制定教学计划</w:t>
            </w:r>
            <w:r>
              <w:rPr>
                <w:rFonts w:hint="eastAsia"/>
              </w:rPr>
              <w:t>，在教学过程中</w:t>
            </w:r>
            <w:r>
              <w:t>关注学员的人身安全，出现意外伤害情况应配合救生员进行急救处理。</w:t>
            </w:r>
            <w:r>
              <w:rPr>
                <w:rFonts w:hint="eastAsia"/>
              </w:rPr>
              <w:t>社会体育指导员（游泳）的安全指导应符合 GB/T34285的规定。</w:t>
            </w:r>
          </w:p>
        </w:tc>
        <w:tc>
          <w:tcPr>
            <w:tcW w:w="1326" w:type="dxa"/>
          </w:tcPr>
          <w:p w14:paraId="5176E04C"/>
        </w:tc>
      </w:tr>
      <w:tr w14:paraId="33C8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1FFE3682">
            <w:pPr>
              <w:jc w:val="center"/>
            </w:pPr>
            <w:r>
              <w:t>4</w:t>
            </w:r>
          </w:p>
          <w:p w14:paraId="0379AAF4">
            <w:pPr>
              <w:jc w:val="center"/>
            </w:pPr>
          </w:p>
        </w:tc>
        <w:tc>
          <w:tcPr>
            <w:tcW w:w="6521" w:type="dxa"/>
          </w:tcPr>
          <w:p w14:paraId="6D7D2EAE">
            <w:r>
              <w:rPr>
                <w:rFonts w:hint="eastAsia"/>
              </w:rPr>
              <w:t>游泳池（馆）内外公共信息符号（标识）应符合GB</w:t>
            </w:r>
            <w:r>
              <w:t>／</w:t>
            </w:r>
            <w:r>
              <w:rPr>
                <w:rFonts w:hint="eastAsia"/>
              </w:rPr>
              <w:t>T34311-2017，安 全 标 志 和 标 签 设 置 应 符 合GB/T34289的规定，并具有中英文标识</w:t>
            </w:r>
            <w:r>
              <w:t>。设有特殊人群关怀泳道</w:t>
            </w:r>
            <w:r>
              <w:rPr>
                <w:rFonts w:hint="eastAsia"/>
              </w:rPr>
              <w:t>，</w:t>
            </w:r>
            <w:r>
              <w:t>应</w:t>
            </w:r>
            <w:r>
              <w:rPr>
                <w:rFonts w:hint="eastAsia"/>
              </w:rPr>
              <w:t>设有</w:t>
            </w:r>
            <w:r>
              <w:t>相关功能区域</w:t>
            </w:r>
            <w:r>
              <w:rPr>
                <w:rFonts w:hint="eastAsia"/>
              </w:rPr>
              <w:t>标识标牌，</w:t>
            </w:r>
            <w:r>
              <w:t>能够为这些特定人群提供明确的活动区域。</w:t>
            </w:r>
          </w:p>
        </w:tc>
        <w:tc>
          <w:tcPr>
            <w:tcW w:w="1326" w:type="dxa"/>
          </w:tcPr>
          <w:p w14:paraId="561FEF3A"/>
        </w:tc>
      </w:tr>
      <w:tr w14:paraId="41EA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7C79C6B8">
            <w:pPr>
              <w:jc w:val="center"/>
            </w:pPr>
            <w:r>
              <w:t>5</w:t>
            </w:r>
          </w:p>
          <w:p w14:paraId="58FA8616">
            <w:pPr>
              <w:jc w:val="center"/>
            </w:pPr>
          </w:p>
        </w:tc>
        <w:tc>
          <w:tcPr>
            <w:tcW w:w="6521" w:type="dxa"/>
          </w:tcPr>
          <w:p w14:paraId="41769461">
            <w:r>
              <w:rPr>
                <w:rFonts w:hint="eastAsia"/>
              </w:rPr>
              <w:t>场地内空气质量应符合 GB/T18883的规定，声环境质量应符合 GB3096—2008的二类标准。</w:t>
            </w:r>
          </w:p>
        </w:tc>
        <w:tc>
          <w:tcPr>
            <w:tcW w:w="1326" w:type="dxa"/>
          </w:tcPr>
          <w:p w14:paraId="7FF9B6ED"/>
        </w:tc>
      </w:tr>
      <w:tr w14:paraId="3F32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6485463A">
            <w:pPr>
              <w:jc w:val="center"/>
            </w:pPr>
            <w:r>
              <w:rPr>
                <w:rFonts w:hint="eastAsia"/>
              </w:rPr>
              <w:t>6</w:t>
            </w:r>
          </w:p>
          <w:p w14:paraId="437C62C6">
            <w:pPr>
              <w:jc w:val="center"/>
            </w:pPr>
          </w:p>
        </w:tc>
        <w:tc>
          <w:tcPr>
            <w:tcW w:w="6521" w:type="dxa"/>
          </w:tcPr>
          <w:p w14:paraId="1DC44CB5">
            <w:r>
              <w:rPr>
                <w:rFonts w:hint="eastAsia"/>
              </w:rPr>
              <w:t>场地内所有区域空间温度应保持在22 ℃~28 ℃(夏季)和16 ℃~24 ℃(冬季)，应具有通风、排气等系统装置，并正常运转。游泳池的水温应不低于26℃（室内恒温游泳馆水温宜在23℃～30℃之间）。</w:t>
            </w:r>
          </w:p>
        </w:tc>
        <w:tc>
          <w:tcPr>
            <w:tcW w:w="1326" w:type="dxa"/>
          </w:tcPr>
          <w:p w14:paraId="128C80AD"/>
        </w:tc>
      </w:tr>
      <w:tr w14:paraId="1712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ABAF72B">
            <w:pPr>
              <w:jc w:val="center"/>
            </w:pPr>
            <w:r>
              <w:rPr>
                <w:rFonts w:hint="eastAsia"/>
              </w:rPr>
              <w:t>7</w:t>
            </w:r>
          </w:p>
          <w:p w14:paraId="36F89913">
            <w:pPr>
              <w:jc w:val="center"/>
            </w:pPr>
          </w:p>
        </w:tc>
        <w:tc>
          <w:tcPr>
            <w:tcW w:w="6521" w:type="dxa"/>
          </w:tcPr>
          <w:p w14:paraId="2EB5D00E">
            <w:pPr>
              <w:jc w:val="left"/>
            </w:pPr>
            <w:r>
              <w:rPr>
                <w:rFonts w:hint="eastAsia"/>
              </w:rPr>
              <w:t>场地内所有区 域 卫 生 情 况 应 符 合 GB37488 的 规 定，灯 光 照 明 应 符 合 GB/T50034—2024 中5.3.13.1的规定。</w:t>
            </w:r>
          </w:p>
        </w:tc>
        <w:tc>
          <w:tcPr>
            <w:tcW w:w="1326" w:type="dxa"/>
          </w:tcPr>
          <w:p w14:paraId="41744641"/>
        </w:tc>
      </w:tr>
      <w:tr w14:paraId="6031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48561E20">
            <w:pPr>
              <w:jc w:val="center"/>
            </w:pPr>
            <w:r>
              <w:rPr>
                <w:rFonts w:hint="eastAsia"/>
              </w:rPr>
              <w:t>8</w:t>
            </w:r>
          </w:p>
        </w:tc>
        <w:tc>
          <w:tcPr>
            <w:tcW w:w="6521" w:type="dxa"/>
          </w:tcPr>
          <w:p w14:paraId="4EADEE58">
            <w:pPr>
              <w:jc w:val="left"/>
            </w:pPr>
            <w:r>
              <w:rPr>
                <w:rFonts w:hint="eastAsia"/>
              </w:rPr>
              <w:t>场地设施应能举办中小型游泳赛事活动，可安排不少于200个座椅的观众区，并有相适应的赛事服务保障能力。</w:t>
            </w:r>
          </w:p>
        </w:tc>
        <w:tc>
          <w:tcPr>
            <w:tcW w:w="1326" w:type="dxa"/>
          </w:tcPr>
          <w:p w14:paraId="756FAEBE"/>
        </w:tc>
      </w:tr>
      <w:tr w14:paraId="1DB5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5C56B2B7">
            <w:pPr>
              <w:jc w:val="center"/>
            </w:pPr>
            <w:r>
              <w:t>9</w:t>
            </w:r>
          </w:p>
          <w:p w14:paraId="07765EAD">
            <w:pPr>
              <w:jc w:val="center"/>
            </w:pPr>
          </w:p>
        </w:tc>
        <w:tc>
          <w:tcPr>
            <w:tcW w:w="6521" w:type="dxa"/>
          </w:tcPr>
          <w:p w14:paraId="7DF4BF53">
            <w:r>
              <w:rPr>
                <w:rFonts w:hint="eastAsia"/>
              </w:rPr>
              <w:t>场地内外应安装防火、警护、视频监控设施，儿童或残疾人等安全保障设备，设施配置应完整、摆放位置合理、能够正常运转。</w:t>
            </w:r>
          </w:p>
        </w:tc>
        <w:tc>
          <w:tcPr>
            <w:tcW w:w="1326" w:type="dxa"/>
          </w:tcPr>
          <w:p w14:paraId="7045EEDC"/>
        </w:tc>
      </w:tr>
      <w:tr w14:paraId="46F1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75" w:type="dxa"/>
          </w:tcPr>
          <w:p w14:paraId="26E1341D">
            <w:pPr>
              <w:jc w:val="center"/>
            </w:pPr>
            <w:r>
              <w:t>10</w:t>
            </w:r>
          </w:p>
          <w:p w14:paraId="3AFAD31C">
            <w:pPr>
              <w:jc w:val="center"/>
            </w:pPr>
          </w:p>
        </w:tc>
        <w:tc>
          <w:tcPr>
            <w:tcW w:w="6521" w:type="dxa"/>
          </w:tcPr>
          <w:p w14:paraId="58B6AB75">
            <w:r>
              <w:rPr>
                <w:rFonts w:hint="eastAsia"/>
              </w:rPr>
              <w:t>场地内配备常规医疗急救药品及设备，包括消毒包扎药物材料等。</w:t>
            </w:r>
          </w:p>
        </w:tc>
        <w:tc>
          <w:tcPr>
            <w:tcW w:w="1326" w:type="dxa"/>
          </w:tcPr>
          <w:p w14:paraId="063D0B68"/>
        </w:tc>
      </w:tr>
    </w:tbl>
    <w:p w14:paraId="658C1069">
      <w:pPr>
        <w:pStyle w:val="57"/>
        <w:ind w:firstLine="420"/>
        <w:rPr>
          <w:lang w:bidi="ar"/>
        </w:rPr>
      </w:pPr>
    </w:p>
    <w:p w14:paraId="7A197187">
      <w:pPr>
        <w:pStyle w:val="57"/>
        <w:ind w:firstLine="0" w:firstLineChars="0"/>
        <w:rPr>
          <w:lang w:bidi="ar"/>
        </w:rPr>
      </w:pPr>
    </w:p>
    <w:p w14:paraId="3180CF1F">
      <w:pPr>
        <w:pStyle w:val="57"/>
        <w:ind w:firstLine="420"/>
        <w:rPr>
          <w:lang w:bidi="ar"/>
        </w:rPr>
      </w:pPr>
    </w:p>
    <w:p w14:paraId="2B77D614">
      <w:pPr>
        <w:pStyle w:val="78"/>
        <w:numPr>
          <w:ilvl w:val="1"/>
          <w:numId w:val="0"/>
        </w:numPr>
        <w:spacing w:before="120" w:after="120"/>
        <w:jc w:val="center"/>
        <w:rPr>
          <w:rFonts w:hint="eastAsia" w:ascii="宋体" w:eastAsia="宋体"/>
          <w:b/>
          <w:bCs/>
          <w:kern w:val="0"/>
          <w:highlight w:val="none"/>
        </w:rPr>
      </w:pPr>
      <w:r>
        <w:rPr>
          <w:rFonts w:hint="eastAsia" w:ascii="宋体" w:eastAsia="宋体"/>
          <w:b/>
          <w:bCs/>
          <w:kern w:val="0"/>
          <w:highlight w:val="none"/>
        </w:rPr>
        <w:t>表C.3三星级游泳池（馆）必备项目检查表</w:t>
      </w:r>
    </w:p>
    <w:tbl>
      <w:tblPr>
        <w:tblStyle w:val="28"/>
        <w:tblpPr w:leftFromText="180" w:rightFromText="180" w:vertAnchor="text" w:horzAnchor="page" w:tblpXSpec="center" w:tblpY="29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521"/>
        <w:gridCol w:w="1326"/>
      </w:tblGrid>
      <w:tr w14:paraId="36FC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6AFC4E3">
            <w:pPr>
              <w:jc w:val="center"/>
            </w:pPr>
            <w:r>
              <w:rPr>
                <w:rFonts w:hint="eastAsia"/>
              </w:rPr>
              <w:t>序号</w:t>
            </w:r>
          </w:p>
        </w:tc>
        <w:tc>
          <w:tcPr>
            <w:tcW w:w="6521" w:type="dxa"/>
          </w:tcPr>
          <w:p w14:paraId="0BCFB1A8">
            <w:pPr>
              <w:jc w:val="center"/>
            </w:pPr>
            <w:r>
              <w:rPr>
                <w:rFonts w:hint="eastAsia"/>
              </w:rPr>
              <w:t>评价内容</w:t>
            </w:r>
          </w:p>
        </w:tc>
        <w:tc>
          <w:tcPr>
            <w:tcW w:w="1326" w:type="dxa"/>
          </w:tcPr>
          <w:p w14:paraId="61E2C12B">
            <w:pPr>
              <w:jc w:val="center"/>
            </w:pPr>
            <w:r>
              <w:rPr>
                <w:rFonts w:hint="eastAsia"/>
              </w:rPr>
              <w:t>是否达标</w:t>
            </w:r>
          </w:p>
        </w:tc>
      </w:tr>
      <w:tr w14:paraId="688A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3E46C12">
            <w:pPr>
              <w:jc w:val="center"/>
            </w:pPr>
            <w:r>
              <w:t>1</w:t>
            </w:r>
          </w:p>
        </w:tc>
        <w:tc>
          <w:tcPr>
            <w:tcW w:w="6521" w:type="dxa"/>
          </w:tcPr>
          <w:p w14:paraId="6B29EF70">
            <w:r>
              <w:rPr>
                <w:rFonts w:hint="eastAsia"/>
              </w:rPr>
              <w:t>应至少有一个不小于25m×15m的矩形游泳池。泳池周边应设置防滑地面、预留救生通道。</w:t>
            </w:r>
          </w:p>
        </w:tc>
        <w:tc>
          <w:tcPr>
            <w:tcW w:w="1326" w:type="dxa"/>
          </w:tcPr>
          <w:p w14:paraId="117F945D"/>
        </w:tc>
      </w:tr>
      <w:tr w14:paraId="63A1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tcPr>
          <w:p w14:paraId="1ED01AE8">
            <w:pPr>
              <w:jc w:val="center"/>
            </w:pPr>
            <w:r>
              <w:t>2</w:t>
            </w:r>
          </w:p>
          <w:p w14:paraId="3EA51F8D">
            <w:pPr>
              <w:jc w:val="center"/>
            </w:pPr>
          </w:p>
        </w:tc>
        <w:tc>
          <w:tcPr>
            <w:tcW w:w="6521" w:type="dxa"/>
          </w:tcPr>
          <w:p w14:paraId="4F45129A">
            <w:pPr>
              <w:rPr>
                <w:rFonts w:eastAsiaTheme="minorEastAsia"/>
              </w:rPr>
            </w:pPr>
            <w:r>
              <w:rPr>
                <w:rFonts w:hint="eastAsia"/>
              </w:rPr>
              <w:t>配套服务区域应设有更衣室、淋浴区、卫生间、储物区域；安全保障区域应设置救生管理区；运营管理区域应设置前台接待区、疏散通道，且功能设置满足运营管理需要。所有配套服务区域同时应符合GB</w:t>
            </w:r>
            <w:r>
              <w:t>／</w:t>
            </w:r>
            <w:r>
              <w:rPr>
                <w:rFonts w:hint="eastAsia"/>
              </w:rPr>
              <w:t>T34311-2017要求。</w:t>
            </w:r>
          </w:p>
        </w:tc>
        <w:tc>
          <w:tcPr>
            <w:tcW w:w="1326" w:type="dxa"/>
          </w:tcPr>
          <w:p w14:paraId="1F05059E"/>
        </w:tc>
      </w:tr>
      <w:tr w14:paraId="1CFF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1F66BF8E">
            <w:pPr>
              <w:jc w:val="center"/>
            </w:pPr>
            <w:r>
              <w:t>3</w:t>
            </w:r>
          </w:p>
          <w:p w14:paraId="553208E8">
            <w:pPr>
              <w:jc w:val="center"/>
            </w:pPr>
          </w:p>
        </w:tc>
        <w:tc>
          <w:tcPr>
            <w:tcW w:w="6521" w:type="dxa"/>
          </w:tcPr>
          <w:p w14:paraId="7C0559B9">
            <w:r>
              <w:rPr>
                <w:rFonts w:hint="eastAsia"/>
              </w:rPr>
              <w:t>社会体育指导员（游泳）</w:t>
            </w:r>
            <w:r>
              <w:t>开展教学（培训）服务的应提前公示班级人数配比和课时时长</w:t>
            </w:r>
            <w:r>
              <w:rPr>
                <w:rFonts w:hint="eastAsia"/>
              </w:rPr>
              <w:t>，在教学过程中</w:t>
            </w:r>
            <w:r>
              <w:t>关注学员的人身安全。</w:t>
            </w:r>
            <w:r>
              <w:rPr>
                <w:rFonts w:hint="eastAsia"/>
              </w:rPr>
              <w:t>社会体育指导员（游泳）的安全指导应符合 GB/T34285的规定。</w:t>
            </w:r>
          </w:p>
        </w:tc>
        <w:tc>
          <w:tcPr>
            <w:tcW w:w="1326" w:type="dxa"/>
          </w:tcPr>
          <w:p w14:paraId="6820A523"/>
        </w:tc>
      </w:tr>
      <w:tr w14:paraId="085B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18EF14B">
            <w:pPr>
              <w:jc w:val="center"/>
            </w:pPr>
            <w:r>
              <w:t>4</w:t>
            </w:r>
          </w:p>
          <w:p w14:paraId="56FE7D88">
            <w:pPr>
              <w:jc w:val="center"/>
            </w:pPr>
          </w:p>
        </w:tc>
        <w:tc>
          <w:tcPr>
            <w:tcW w:w="6521" w:type="dxa"/>
          </w:tcPr>
          <w:p w14:paraId="2766134E">
            <w:r>
              <w:rPr>
                <w:rFonts w:hint="eastAsia"/>
              </w:rPr>
              <w:t>游泳池（馆）内外公共信息符号（标识）应符合GB</w:t>
            </w:r>
            <w:r>
              <w:t>／</w:t>
            </w:r>
            <w:r>
              <w:rPr>
                <w:rFonts w:hint="eastAsia"/>
              </w:rPr>
              <w:t>T34311-2017，安 全 标 志 和 标 签 设 置 应 符 合GB/T34289的规定，并具有中英文标识</w:t>
            </w:r>
            <w:r>
              <w:t>。</w:t>
            </w:r>
          </w:p>
        </w:tc>
        <w:tc>
          <w:tcPr>
            <w:tcW w:w="1326" w:type="dxa"/>
          </w:tcPr>
          <w:p w14:paraId="6862D4D7"/>
        </w:tc>
      </w:tr>
      <w:tr w14:paraId="4F70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D213EEE">
            <w:pPr>
              <w:jc w:val="center"/>
            </w:pPr>
            <w:r>
              <w:t>5</w:t>
            </w:r>
          </w:p>
          <w:p w14:paraId="215494E5">
            <w:pPr>
              <w:jc w:val="center"/>
            </w:pPr>
          </w:p>
        </w:tc>
        <w:tc>
          <w:tcPr>
            <w:tcW w:w="6521" w:type="dxa"/>
          </w:tcPr>
          <w:p w14:paraId="7DC0E7CB">
            <w:r>
              <w:rPr>
                <w:rFonts w:hint="eastAsia"/>
              </w:rPr>
              <w:t>场地内空气质量应符合 GB/T18883的规定，声环境质量应符合 GB3096—2008的二类标准。</w:t>
            </w:r>
          </w:p>
        </w:tc>
        <w:tc>
          <w:tcPr>
            <w:tcW w:w="1326" w:type="dxa"/>
          </w:tcPr>
          <w:p w14:paraId="24DBC443"/>
        </w:tc>
      </w:tr>
      <w:tr w14:paraId="75FE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7654402B">
            <w:pPr>
              <w:jc w:val="center"/>
            </w:pPr>
            <w:r>
              <w:rPr>
                <w:rFonts w:hint="eastAsia"/>
              </w:rPr>
              <w:t>6</w:t>
            </w:r>
          </w:p>
          <w:p w14:paraId="4BA1A997">
            <w:pPr>
              <w:jc w:val="center"/>
            </w:pPr>
          </w:p>
        </w:tc>
        <w:tc>
          <w:tcPr>
            <w:tcW w:w="6521" w:type="dxa"/>
          </w:tcPr>
          <w:p w14:paraId="4461CB5E">
            <w:r>
              <w:rPr>
                <w:rFonts w:hint="eastAsia"/>
              </w:rPr>
              <w:t>场地内所有区域空间温度应舒适，游泳活动区域空间温度和水温度适宜，应具有通风、排气等系统装置，并正常运转。</w:t>
            </w:r>
          </w:p>
        </w:tc>
        <w:tc>
          <w:tcPr>
            <w:tcW w:w="1326" w:type="dxa"/>
          </w:tcPr>
          <w:p w14:paraId="78C4E111"/>
        </w:tc>
      </w:tr>
      <w:tr w14:paraId="7BD6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51142B37">
            <w:pPr>
              <w:jc w:val="center"/>
            </w:pPr>
            <w:r>
              <w:rPr>
                <w:rFonts w:hint="eastAsia"/>
              </w:rPr>
              <w:t>7</w:t>
            </w:r>
          </w:p>
          <w:p w14:paraId="598CF972">
            <w:pPr>
              <w:jc w:val="center"/>
            </w:pPr>
          </w:p>
        </w:tc>
        <w:tc>
          <w:tcPr>
            <w:tcW w:w="6521" w:type="dxa"/>
          </w:tcPr>
          <w:p w14:paraId="11840CF9">
            <w:pPr>
              <w:jc w:val="left"/>
            </w:pPr>
            <w:r>
              <w:rPr>
                <w:rFonts w:hint="eastAsia"/>
              </w:rPr>
              <w:t>场地内所有区 域 卫 生 情 况 应 符 合 GB37488 的 规 定，灯 光 照 明 应 符 合 GB/T50034—2024 中5.3.13.1的规定。</w:t>
            </w:r>
          </w:p>
        </w:tc>
        <w:tc>
          <w:tcPr>
            <w:tcW w:w="1326" w:type="dxa"/>
          </w:tcPr>
          <w:p w14:paraId="208F1197"/>
        </w:tc>
      </w:tr>
      <w:tr w14:paraId="20ED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65B2C89">
            <w:pPr>
              <w:jc w:val="center"/>
            </w:pPr>
            <w:r>
              <w:rPr>
                <w:rFonts w:hint="eastAsia"/>
              </w:rPr>
              <w:t>8</w:t>
            </w:r>
          </w:p>
        </w:tc>
        <w:tc>
          <w:tcPr>
            <w:tcW w:w="6521" w:type="dxa"/>
          </w:tcPr>
          <w:p w14:paraId="0B6C9BC3">
            <w:pPr>
              <w:jc w:val="left"/>
            </w:pPr>
            <w:r>
              <w:rPr>
                <w:rFonts w:hint="eastAsia"/>
              </w:rPr>
              <w:t>场地设施应能举办群众性游泳活动，并有相适应的活动服务保障能力。</w:t>
            </w:r>
          </w:p>
        </w:tc>
        <w:tc>
          <w:tcPr>
            <w:tcW w:w="1326" w:type="dxa"/>
          </w:tcPr>
          <w:p w14:paraId="09A16EC8"/>
        </w:tc>
      </w:tr>
      <w:tr w14:paraId="758A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7BC3E95F">
            <w:pPr>
              <w:jc w:val="center"/>
            </w:pPr>
            <w:r>
              <w:t>9</w:t>
            </w:r>
          </w:p>
          <w:p w14:paraId="74094C49">
            <w:pPr>
              <w:jc w:val="center"/>
            </w:pPr>
          </w:p>
        </w:tc>
        <w:tc>
          <w:tcPr>
            <w:tcW w:w="6521" w:type="dxa"/>
          </w:tcPr>
          <w:p w14:paraId="519E9FD3">
            <w:r>
              <w:rPr>
                <w:rFonts w:hint="eastAsia"/>
              </w:rPr>
              <w:t>场地内外应安装防火、警护、视频监控设施，配置应完整、摆放位置合理、能够正常运转。</w:t>
            </w:r>
          </w:p>
        </w:tc>
        <w:tc>
          <w:tcPr>
            <w:tcW w:w="1326" w:type="dxa"/>
          </w:tcPr>
          <w:p w14:paraId="7CF3A769"/>
        </w:tc>
      </w:tr>
      <w:tr w14:paraId="5571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75" w:type="dxa"/>
          </w:tcPr>
          <w:p w14:paraId="425CBEE8">
            <w:pPr>
              <w:jc w:val="center"/>
            </w:pPr>
            <w:r>
              <w:t>10</w:t>
            </w:r>
          </w:p>
          <w:p w14:paraId="1B9E9FF0">
            <w:pPr>
              <w:jc w:val="center"/>
            </w:pPr>
          </w:p>
        </w:tc>
        <w:tc>
          <w:tcPr>
            <w:tcW w:w="6521" w:type="dxa"/>
          </w:tcPr>
          <w:p w14:paraId="7E110776">
            <w:r>
              <w:rPr>
                <w:rFonts w:hint="eastAsia"/>
              </w:rPr>
              <w:t>场地内配备常规医疗急救药品及设备，包括消毒包扎药物材料等。</w:t>
            </w:r>
          </w:p>
        </w:tc>
        <w:tc>
          <w:tcPr>
            <w:tcW w:w="1326" w:type="dxa"/>
          </w:tcPr>
          <w:p w14:paraId="35B42F8B"/>
        </w:tc>
      </w:tr>
      <w:bookmarkEnd w:id="45"/>
    </w:tbl>
    <w:p w14:paraId="7C879AD1">
      <w:pPr>
        <w:rPr>
          <w:lang w:bidi="ar"/>
        </w:rPr>
      </w:pPr>
      <w:r>
        <w:rPr>
          <w:lang w:bidi="ar"/>
        </w:rPr>
        <w:br w:type="page"/>
      </w:r>
    </w:p>
    <w:p w14:paraId="7B11EC94">
      <w:pPr>
        <w:pStyle w:val="57"/>
        <w:ind w:firstLine="0" w:firstLineChars="0"/>
        <w:jc w:val="center"/>
        <w:outlineLvl w:val="0"/>
        <w:rPr>
          <w:rFonts w:hint="eastAsia" w:ascii="微软雅黑" w:hAnsi="微软雅黑" w:eastAsia="微软雅黑" w:cs="微软雅黑"/>
          <w:b/>
          <w:bCs/>
          <w:color w:val="000000"/>
          <w:sz w:val="22"/>
          <w:szCs w:val="22"/>
          <w:lang w:val="en-US" w:eastAsia="zh-CN"/>
        </w:rPr>
      </w:pPr>
      <w:r>
        <w:rPr>
          <w:rFonts w:hint="eastAsia" w:ascii="微软雅黑" w:hAnsi="微软雅黑" w:eastAsia="微软雅黑" w:cs="微软雅黑"/>
          <w:b/>
          <w:bCs/>
          <w:color w:val="000000"/>
          <w:sz w:val="22"/>
          <w:szCs w:val="22"/>
          <w:lang w:val="en-US" w:eastAsia="zh-CN"/>
        </w:rPr>
        <w:t>参 考 文 献</w:t>
      </w:r>
    </w:p>
    <w:p w14:paraId="20CF5D4A">
      <w:pPr>
        <w:pStyle w:val="57"/>
        <w:ind w:firstLine="0" w:firstLineChars="0"/>
        <w:jc w:val="center"/>
        <w:rPr>
          <w:rFonts w:hint="eastAsia" w:ascii="微软雅黑" w:hAnsi="微软雅黑" w:eastAsia="微软雅黑" w:cs="微软雅黑"/>
          <w:b/>
          <w:bCs/>
          <w:color w:val="000000"/>
          <w:sz w:val="22"/>
          <w:szCs w:val="22"/>
          <w:lang w:val="en-US" w:eastAsia="zh-CN"/>
        </w:rPr>
      </w:pPr>
    </w:p>
    <w:p w14:paraId="4E006DC5">
      <w:pPr>
        <w:pStyle w:val="57"/>
        <w:ind w:firstLine="420"/>
      </w:pPr>
      <w:r>
        <w:rPr>
          <w:rFonts w:hint="eastAsia"/>
          <w:highlight w:val="none"/>
          <w:lang w:val="en-US" w:eastAsia="zh-CN"/>
        </w:rPr>
        <w:t xml:space="preserve">[1] </w:t>
      </w:r>
      <w:r>
        <w:rPr>
          <w:rFonts w:hint="eastAsia"/>
          <w:highlight w:val="none"/>
        </w:rPr>
        <w:t>GB/T 19079.1-2013 体育场</w:t>
      </w:r>
      <w:r>
        <w:rPr>
          <w:rFonts w:hint="eastAsia"/>
        </w:rPr>
        <w:t>所开放条件与技术要求 第1部分：游泳场所</w:t>
      </w:r>
    </w:p>
    <w:p w14:paraId="691B74E2">
      <w:pPr>
        <w:pStyle w:val="57"/>
        <w:ind w:firstLine="420"/>
      </w:pPr>
      <w:r>
        <w:rPr>
          <w:rFonts w:hint="eastAsia"/>
          <w:lang w:val="en-US" w:eastAsia="zh-CN"/>
        </w:rPr>
        <w:t xml:space="preserve">[2] </w:t>
      </w:r>
      <w:r>
        <w:rPr>
          <w:rFonts w:hint="eastAsia"/>
        </w:rPr>
        <w:t>GB/T18883 室内空气质量标准</w:t>
      </w:r>
    </w:p>
    <w:p w14:paraId="752A17FF">
      <w:pPr>
        <w:pStyle w:val="57"/>
        <w:ind w:firstLine="420"/>
      </w:pPr>
      <w:r>
        <w:rPr>
          <w:rFonts w:hint="eastAsia"/>
          <w:lang w:val="en-US" w:eastAsia="zh-CN"/>
        </w:rPr>
        <w:t xml:space="preserve">[3] </w:t>
      </w:r>
      <w:r>
        <w:rPr>
          <w:rFonts w:hint="eastAsia"/>
        </w:rPr>
        <w:t>GB 3096-2008 声环境质量标准</w:t>
      </w:r>
    </w:p>
    <w:p w14:paraId="078A9DE2">
      <w:pPr>
        <w:pStyle w:val="57"/>
        <w:ind w:firstLine="420"/>
      </w:pPr>
      <w:r>
        <w:rPr>
          <w:rFonts w:hint="eastAsia"/>
          <w:lang w:val="en-US" w:eastAsia="zh-CN"/>
        </w:rPr>
        <w:t xml:space="preserve">[4] </w:t>
      </w:r>
      <w:r>
        <w:rPr>
          <w:rFonts w:hint="eastAsia"/>
        </w:rPr>
        <w:t>GB 5749-2022 生活饮用水卫生标准</w:t>
      </w:r>
    </w:p>
    <w:p w14:paraId="4E1DA6C1">
      <w:pPr>
        <w:pStyle w:val="57"/>
        <w:ind w:firstLine="420"/>
      </w:pPr>
      <w:r>
        <w:rPr>
          <w:rFonts w:hint="eastAsia"/>
          <w:lang w:val="en-US" w:eastAsia="zh-CN"/>
        </w:rPr>
        <w:t xml:space="preserve">[5] </w:t>
      </w:r>
      <w:r>
        <w:rPr>
          <w:rFonts w:hint="eastAsia"/>
        </w:rPr>
        <w:t xml:space="preserve">GB/T 10001.1-2023 公共信息图形符号 第1部分：通用符号  </w:t>
      </w:r>
    </w:p>
    <w:p w14:paraId="0AB20543">
      <w:pPr>
        <w:pStyle w:val="57"/>
        <w:ind w:firstLine="420"/>
      </w:pPr>
      <w:r>
        <w:rPr>
          <w:rFonts w:hint="eastAsia"/>
          <w:lang w:val="en-US" w:eastAsia="zh-CN"/>
        </w:rPr>
        <w:t xml:space="preserve">[6] </w:t>
      </w:r>
      <w:r>
        <w:rPr>
          <w:rFonts w:hint="eastAsia"/>
        </w:rPr>
        <w:t>GB 37487-2019 公共场所卫生管理规范</w:t>
      </w:r>
    </w:p>
    <w:p w14:paraId="148004B7">
      <w:pPr>
        <w:pStyle w:val="57"/>
        <w:ind w:firstLine="420"/>
      </w:pPr>
      <w:r>
        <w:rPr>
          <w:rFonts w:hint="eastAsia"/>
          <w:lang w:val="en-US" w:eastAsia="zh-CN"/>
        </w:rPr>
        <w:t xml:space="preserve">[7] </w:t>
      </w:r>
      <w:r>
        <w:rPr>
          <w:rFonts w:hint="eastAsia"/>
        </w:rPr>
        <w:t>GB 37488-2019 公共场所卫生指标及限制要求</w:t>
      </w:r>
    </w:p>
    <w:p w14:paraId="5BA45EEA">
      <w:pPr>
        <w:pStyle w:val="57"/>
        <w:ind w:firstLine="420"/>
        <w:rPr>
          <w:rFonts w:hint="eastAsia"/>
        </w:rPr>
      </w:pPr>
      <w:r>
        <w:rPr>
          <w:rFonts w:hint="eastAsia"/>
          <w:lang w:val="en-US" w:eastAsia="zh-CN"/>
        </w:rPr>
        <w:t xml:space="preserve">[8] </w:t>
      </w:r>
      <w:r>
        <w:rPr>
          <w:rFonts w:hint="eastAsia"/>
        </w:rPr>
        <w:t xml:space="preserve">GB 50763-2012 无障碍设计规范 </w:t>
      </w:r>
    </w:p>
    <w:p w14:paraId="00E7984C">
      <w:pPr>
        <w:pStyle w:val="57"/>
        <w:ind w:firstLine="420"/>
      </w:pPr>
      <w:r>
        <w:rPr>
          <w:rFonts w:hint="eastAsia"/>
          <w:lang w:val="en-US" w:eastAsia="zh-CN"/>
        </w:rPr>
        <w:t xml:space="preserve">[9] </w:t>
      </w:r>
      <w:r>
        <w:rPr>
          <w:rFonts w:hint="eastAsia"/>
        </w:rPr>
        <w:t>CJJ 122-2017 游泳池给水排水工程技术规程</w:t>
      </w:r>
    </w:p>
    <w:p w14:paraId="4FDDAC16">
      <w:pPr>
        <w:pStyle w:val="57"/>
        <w:ind w:firstLine="420"/>
        <w:rPr>
          <w:rFonts w:hint="eastAsia"/>
        </w:rPr>
      </w:pPr>
      <w:r>
        <w:rPr>
          <w:rFonts w:hint="eastAsia"/>
          <w:lang w:val="en-US" w:eastAsia="zh-CN"/>
        </w:rPr>
        <w:t xml:space="preserve">[10] </w:t>
      </w:r>
      <w:r>
        <w:rPr>
          <w:rFonts w:hint="eastAsia"/>
        </w:rPr>
        <w:t>WS 10013-2023  公共场所集中空调通风系统卫生规范</w:t>
      </w:r>
    </w:p>
    <w:p w14:paraId="13E234B6">
      <w:pPr>
        <w:pStyle w:val="57"/>
        <w:ind w:firstLine="420"/>
        <w:rPr>
          <w:rFonts w:hint="eastAsia"/>
        </w:rPr>
      </w:pPr>
      <w:r>
        <w:rPr>
          <w:rFonts w:hint="eastAsia"/>
          <w:lang w:val="en-US" w:eastAsia="zh-CN"/>
        </w:rPr>
        <w:t xml:space="preserve">[11] </w:t>
      </w:r>
      <w:r>
        <w:rPr>
          <w:rFonts w:hint="eastAsia"/>
        </w:rPr>
        <w:t>GB/T 22517.2-2024  体育场地使用要求及检验方法 第2部分：游泳场地</w:t>
      </w:r>
    </w:p>
    <w:p w14:paraId="2BBA16B0">
      <w:pPr>
        <w:pStyle w:val="57"/>
        <w:ind w:firstLine="0" w:firstLineChars="0"/>
        <w:jc w:val="both"/>
        <w:rPr>
          <w:lang w:bidi="ar"/>
        </w:rPr>
      </w:pPr>
    </w:p>
    <w:sectPr>
      <w:headerReference r:id="rId19" w:type="default"/>
      <w:footerReference r:id="rId21" w:type="default"/>
      <w:headerReference r:id="rId20" w:type="even"/>
      <w:footerReference r:id="rId22"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2C1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D567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F11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5CEEC">
    <w:pPr>
      <w:pStyle w:val="53"/>
      <w:bidi w:val="0"/>
    </w:pPr>
    <w:r>
      <w:fldChar w:fldCharType="begin"/>
    </w:r>
    <w:r>
      <w:instrText xml:space="preserve">PAGE   \* MERGEFORMAT</w:instrText>
    </w:r>
    <w:r>
      <w:fldChar w:fldCharType="separate"/>
    </w:r>
    <w:r>
      <w:rPr>
        <w:lang w:val="zh-CN"/>
      </w:rPr>
      <w:t>10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E5ACB">
    <w:pPr>
      <w:pStyle w:val="52"/>
      <w:bidi w:val="0"/>
    </w:pPr>
    <w:r>
      <w:fldChar w:fldCharType="begin"/>
    </w:r>
    <w:r>
      <w:instrText xml:space="preserve"> PAGE   \* MERGEFORMAT \* MERGEFORMAT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F4F9E">
    <w:pPr>
      <w:pStyle w:val="53"/>
      <w:bidi w:val="0"/>
    </w:pPr>
    <w:r>
      <w:fldChar w:fldCharType="begin"/>
    </w:r>
    <w:r>
      <w:instrText xml:space="preserve">PAGE   \* MERGEFORMAT</w:instrText>
    </w:r>
    <w:r>
      <w:fldChar w:fldCharType="separate"/>
    </w:r>
    <w:r>
      <w:rPr>
        <w:lang w:val="zh-CN"/>
      </w:rPr>
      <w:t>10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A91A">
    <w:pPr>
      <w:pStyle w:val="52"/>
      <w:bidi w:val="0"/>
    </w:pPr>
    <w:r>
      <w:fldChar w:fldCharType="begin"/>
    </w:r>
    <w:r>
      <w:instrText xml:space="preserve"> PAGE   \* MERGEFORMAT \* MERGEFORMAT </w:instrText>
    </w:r>
    <w:r>
      <w:fldChar w:fldCharType="separate"/>
    </w:r>
    <w: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C0BF">
    <w:pPr>
      <w:pStyle w:val="53"/>
      <w:bidi w:val="0"/>
    </w:pPr>
    <w:r>
      <w:fldChar w:fldCharType="begin"/>
    </w:r>
    <w:r>
      <w:instrText xml:space="preserve">PAGE   \* MERGEFORMAT</w:instrText>
    </w:r>
    <w:r>
      <w:fldChar w:fldCharType="separate"/>
    </w:r>
    <w:r>
      <w:rPr>
        <w:lang w:val="zh-CN"/>
      </w:rP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7B95">
    <w:pPr>
      <w:pStyle w:val="52"/>
      <w:bidi w:val="0"/>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C38E1">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CDE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58E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F1E2">
    <w:pPr>
      <w:pStyle w:val="62"/>
      <w:bidi w:val="0"/>
    </w:pPr>
    <w:r>
      <w:fldChar w:fldCharType="begin"/>
    </w:r>
    <w:r>
      <w:instrText xml:space="preserve"> STYLEREF  标准文件_文件编号  \* MERGEFORMAT </w:instrText>
    </w:r>
    <w:r>
      <w:fldChar w:fldCharType="separate"/>
    </w:r>
    <w:r>
      <w:t>T/SCSVA 0007.2—2026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D5D1">
    <w:pPr>
      <w:pStyle w:val="63"/>
      <w:bidi w:val="0"/>
    </w:pPr>
    <w:r>
      <w:fldChar w:fldCharType="begin"/>
    </w:r>
    <w:r>
      <w:instrText xml:space="preserve"> STYLEREF  标准文件_文件编号 \* MERGEFORMAT </w:instrText>
    </w:r>
    <w:r>
      <w:fldChar w:fldCharType="separate"/>
    </w:r>
    <w:r>
      <w:t>T/SCSVA 0007.2—2026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F54A1">
    <w:pPr>
      <w:pStyle w:val="62"/>
      <w:bidi w:val="0"/>
    </w:pPr>
    <w:r>
      <w:fldChar w:fldCharType="begin"/>
    </w:r>
    <w:r>
      <w:instrText xml:space="preserve"> STYLEREF  标准文件_文件编号  \* MERGEFORMAT </w:instrText>
    </w:r>
    <w:r>
      <w:fldChar w:fldCharType="separate"/>
    </w:r>
    <w:r>
      <w:t>T/SCSVA 0007.2—2026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0826">
    <w:pPr>
      <w:pStyle w:val="63"/>
      <w:bidi w:val="0"/>
    </w:pPr>
    <w:r>
      <w:fldChar w:fldCharType="begin"/>
    </w:r>
    <w:r>
      <w:instrText xml:space="preserve"> STYLEREF  标准文件_文件编号 \* MERGEFORMAT </w:instrText>
    </w:r>
    <w:r>
      <w:fldChar w:fldCharType="separate"/>
    </w:r>
    <w:r>
      <w:t>T/SCSVA 0007.2—2026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DE88E">
    <w:pPr>
      <w:pStyle w:val="62"/>
      <w:bidi w:val="0"/>
    </w:pPr>
    <w:r>
      <w:fldChar w:fldCharType="begin"/>
    </w:r>
    <w:r>
      <w:instrText xml:space="preserve"> STYLEREF  标准文件_文件编号  \* MERGEFORMAT </w:instrText>
    </w:r>
    <w:r>
      <w:fldChar w:fldCharType="separate"/>
    </w:r>
    <w:r>
      <w:t>T/SCSVA 0007.2—2026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D6BD">
    <w:pPr>
      <w:pStyle w:val="63"/>
      <w:bidi w:val="0"/>
    </w:pPr>
    <w:r>
      <w:fldChar w:fldCharType="begin"/>
    </w:r>
    <w:r>
      <w:instrText xml:space="preserve"> STYLEREF  标准文件_文件编号 \* MERGEFORMAT </w:instrText>
    </w:r>
    <w:r>
      <w:fldChar w:fldCharType="separate"/>
    </w:r>
    <w:r>
      <w:t>T/SCSVA 0007.2—2026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D6DC2"/>
    <w:multiLevelType w:val="singleLevel"/>
    <w:tmpl w:val="BEAD6DC2"/>
    <w:lvl w:ilvl="0" w:tentative="0">
      <w:start w:val="1"/>
      <w:numFmt w:val="lowerLetter"/>
      <w:lvlText w:val="%1)"/>
      <w:lvlJc w:val="left"/>
      <w:pPr>
        <w:tabs>
          <w:tab w:val="left" w:pos="312"/>
        </w:tabs>
      </w:pPr>
    </w:lvl>
  </w:abstractNum>
  <w:abstractNum w:abstractNumId="1">
    <w:nsid w:val="CD208657"/>
    <w:multiLevelType w:val="singleLevel"/>
    <w:tmpl w:val="CD208657"/>
    <w:lvl w:ilvl="0" w:tentative="0">
      <w:start w:val="1"/>
      <w:numFmt w:val="lowerLetter"/>
      <w:suff w:val="space"/>
      <w:lvlText w:val="%1)"/>
      <w:lvlJc w:val="left"/>
    </w:lvl>
  </w:abstractNum>
  <w:abstractNum w:abstractNumId="2">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29"/>
  </w:num>
  <w:num w:numId="3">
    <w:abstractNumId w:val="7"/>
  </w:num>
  <w:num w:numId="4">
    <w:abstractNumId w:val="25"/>
  </w:num>
  <w:num w:numId="5">
    <w:abstractNumId w:val="20"/>
  </w:num>
  <w:num w:numId="6">
    <w:abstractNumId w:val="15"/>
  </w:num>
  <w:num w:numId="7">
    <w:abstractNumId w:val="10"/>
  </w:num>
  <w:num w:numId="8">
    <w:abstractNumId w:val="5"/>
  </w:num>
  <w:num w:numId="9">
    <w:abstractNumId w:val="11"/>
  </w:num>
  <w:num w:numId="10">
    <w:abstractNumId w:val="18"/>
  </w:num>
  <w:num w:numId="11">
    <w:abstractNumId w:val="27"/>
  </w:num>
  <w:num w:numId="12">
    <w:abstractNumId w:val="13"/>
  </w:num>
  <w:num w:numId="13">
    <w:abstractNumId w:val="14"/>
  </w:num>
  <w:num w:numId="14">
    <w:abstractNumId w:val="9"/>
  </w:num>
  <w:num w:numId="15">
    <w:abstractNumId w:val="21"/>
  </w:num>
  <w:num w:numId="16">
    <w:abstractNumId w:val="23"/>
  </w:num>
  <w:num w:numId="17">
    <w:abstractNumId w:val="19"/>
  </w:num>
  <w:num w:numId="18">
    <w:abstractNumId w:val="31"/>
  </w:num>
  <w:num w:numId="19">
    <w:abstractNumId w:val="17"/>
  </w:num>
  <w:num w:numId="20">
    <w:abstractNumId w:val="3"/>
  </w:num>
  <w:num w:numId="21">
    <w:abstractNumId w:val="12"/>
  </w:num>
  <w:num w:numId="22">
    <w:abstractNumId w:val="32"/>
  </w:num>
  <w:num w:numId="23">
    <w:abstractNumId w:val="22"/>
  </w:num>
  <w:num w:numId="24">
    <w:abstractNumId w:val="8"/>
  </w:num>
  <w:num w:numId="25">
    <w:abstractNumId w:val="28"/>
  </w:num>
  <w:num w:numId="26">
    <w:abstractNumId w:val="30"/>
  </w:num>
  <w:num w:numId="27">
    <w:abstractNumId w:val="4"/>
  </w:num>
  <w:num w:numId="28">
    <w:abstractNumId w:val="6"/>
  </w:num>
  <w:num w:numId="29">
    <w:abstractNumId w:val="16"/>
  </w:num>
  <w:num w:numId="30">
    <w:abstractNumId w:val="26"/>
  </w:num>
  <w:num w:numId="31">
    <w:abstractNumId w:val="24"/>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ZDc3NGUwMDc0MWVhYjQ0ZmNiMTI4MGQyN2Q3MjgifQ=="/>
  </w:docVars>
  <w:rsids>
    <w:rsidRoot w:val="006B7D6B"/>
    <w:rsid w:val="0000040A"/>
    <w:rsid w:val="00000A94"/>
    <w:rsid w:val="00001688"/>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85A"/>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99A"/>
    <w:rsid w:val="00077B64"/>
    <w:rsid w:val="00080A1C"/>
    <w:rsid w:val="00080D7D"/>
    <w:rsid w:val="00082317"/>
    <w:rsid w:val="00083D2C"/>
    <w:rsid w:val="00086AA1"/>
    <w:rsid w:val="00087A77"/>
    <w:rsid w:val="00090CA6"/>
    <w:rsid w:val="00091469"/>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D77"/>
    <w:rsid w:val="000F06E1"/>
    <w:rsid w:val="000F0E3C"/>
    <w:rsid w:val="000F19D5"/>
    <w:rsid w:val="000F4050"/>
    <w:rsid w:val="000F4AEA"/>
    <w:rsid w:val="000F67E9"/>
    <w:rsid w:val="00104926"/>
    <w:rsid w:val="00113B1E"/>
    <w:rsid w:val="0011711C"/>
    <w:rsid w:val="001247E6"/>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C00"/>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0B1C"/>
    <w:rsid w:val="002124FC"/>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130"/>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96F"/>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1FD1"/>
    <w:rsid w:val="00445574"/>
    <w:rsid w:val="004467FB"/>
    <w:rsid w:val="00452D6B"/>
    <w:rsid w:val="00454484"/>
    <w:rsid w:val="0045517B"/>
    <w:rsid w:val="0046104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B00"/>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0C0"/>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D6B"/>
    <w:rsid w:val="006C1BBA"/>
    <w:rsid w:val="006C2079"/>
    <w:rsid w:val="006C5683"/>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6AAC"/>
    <w:rsid w:val="00722FBF"/>
    <w:rsid w:val="00722FC2"/>
    <w:rsid w:val="00724E1B"/>
    <w:rsid w:val="00725949"/>
    <w:rsid w:val="00727FA2"/>
    <w:rsid w:val="007322D9"/>
    <w:rsid w:val="00732BC0"/>
    <w:rsid w:val="007335B1"/>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B25"/>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092C"/>
    <w:rsid w:val="007D1352"/>
    <w:rsid w:val="007D2508"/>
    <w:rsid w:val="007D346A"/>
    <w:rsid w:val="007D6518"/>
    <w:rsid w:val="007D76BD"/>
    <w:rsid w:val="007E0BF1"/>
    <w:rsid w:val="007F0ED8"/>
    <w:rsid w:val="007F0F63"/>
    <w:rsid w:val="007F75CE"/>
    <w:rsid w:val="008013A4"/>
    <w:rsid w:val="00801DCE"/>
    <w:rsid w:val="008027CE"/>
    <w:rsid w:val="00802F42"/>
    <w:rsid w:val="00804383"/>
    <w:rsid w:val="00804BB7"/>
    <w:rsid w:val="00804D41"/>
    <w:rsid w:val="00805E00"/>
    <w:rsid w:val="00810257"/>
    <w:rsid w:val="008104F5"/>
    <w:rsid w:val="00811072"/>
    <w:rsid w:val="00811369"/>
    <w:rsid w:val="00815419"/>
    <w:rsid w:val="008163C8"/>
    <w:rsid w:val="008164A1"/>
    <w:rsid w:val="00816AF2"/>
    <w:rsid w:val="00817325"/>
    <w:rsid w:val="008209E6"/>
    <w:rsid w:val="00823303"/>
    <w:rsid w:val="008233B2"/>
    <w:rsid w:val="00823A9F"/>
    <w:rsid w:val="00823C85"/>
    <w:rsid w:val="00825138"/>
    <w:rsid w:val="008256DC"/>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0AF7"/>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70A"/>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222F"/>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950"/>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A7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5C28"/>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B2F"/>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571A"/>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282"/>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051"/>
    <w:rsid w:val="00D4162B"/>
    <w:rsid w:val="00D4514F"/>
    <w:rsid w:val="00D451E2"/>
    <w:rsid w:val="00D45E89"/>
    <w:rsid w:val="00D45E8D"/>
    <w:rsid w:val="00D466AE"/>
    <w:rsid w:val="00D4734F"/>
    <w:rsid w:val="00D51BF3"/>
    <w:rsid w:val="00D66846"/>
    <w:rsid w:val="00D675FB"/>
    <w:rsid w:val="00D70D56"/>
    <w:rsid w:val="00D71F25"/>
    <w:rsid w:val="00D72A9C"/>
    <w:rsid w:val="00D752B5"/>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BF8"/>
    <w:rsid w:val="00E15CCD"/>
    <w:rsid w:val="00E202EF"/>
    <w:rsid w:val="00E210B5"/>
    <w:rsid w:val="00E2552F"/>
    <w:rsid w:val="00E3137A"/>
    <w:rsid w:val="00E32CCF"/>
    <w:rsid w:val="00E34A98"/>
    <w:rsid w:val="00E35D1E"/>
    <w:rsid w:val="00E364F9"/>
    <w:rsid w:val="00E365FA"/>
    <w:rsid w:val="00E36789"/>
    <w:rsid w:val="00E41B93"/>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D68"/>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6E4"/>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847DF7"/>
    <w:rsid w:val="06354C9B"/>
    <w:rsid w:val="071C1EFF"/>
    <w:rsid w:val="09D9119E"/>
    <w:rsid w:val="0C2B2AFC"/>
    <w:rsid w:val="10700945"/>
    <w:rsid w:val="18B119E3"/>
    <w:rsid w:val="1BC62FB8"/>
    <w:rsid w:val="1BE571AB"/>
    <w:rsid w:val="1D3D40CB"/>
    <w:rsid w:val="20EE157B"/>
    <w:rsid w:val="26E32418"/>
    <w:rsid w:val="388959DD"/>
    <w:rsid w:val="3A695377"/>
    <w:rsid w:val="40B32809"/>
    <w:rsid w:val="423F1F9F"/>
    <w:rsid w:val="468A593A"/>
    <w:rsid w:val="46E26BDC"/>
    <w:rsid w:val="4AD03A83"/>
    <w:rsid w:val="4CDA6125"/>
    <w:rsid w:val="4ED87C15"/>
    <w:rsid w:val="4EE74522"/>
    <w:rsid w:val="52913054"/>
    <w:rsid w:val="5DB501CC"/>
    <w:rsid w:val="60D96781"/>
    <w:rsid w:val="621D249F"/>
    <w:rsid w:val="631C2F5A"/>
    <w:rsid w:val="6A676BAF"/>
    <w:rsid w:val="6FF778AF"/>
    <w:rsid w:val="78D53543"/>
    <w:rsid w:val="78FC3116"/>
    <w:rsid w:val="79776E32"/>
    <w:rsid w:val="7C040803"/>
    <w:rsid w:val="7C277660"/>
    <w:rsid w:val="7EA1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pPr>
      <w:widowControl/>
      <w:adjustRightInd/>
      <w:spacing w:line="240" w:lineRule="auto"/>
      <w:jc w:val="left"/>
    </w:pPr>
    <w:rPr>
      <w:rFonts w:ascii="Times New Roman" w:hAnsi="Times New Roman"/>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三级无"/>
    <w:basedOn w:val="1"/>
    <w:qFormat/>
    <w:uiPriority w:val="0"/>
    <w:pPr>
      <w:widowControl/>
      <w:adjustRightInd/>
      <w:spacing w:line="240" w:lineRule="auto"/>
      <w:jc w:val="left"/>
      <w:outlineLvl w:val="4"/>
    </w:pPr>
    <w:rPr>
      <w:rFonts w:ascii="宋体" w:hAnsi="Times New Roman"/>
      <w:kern w:val="0"/>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A2ED1EE0C14EC3B0993F8658155577"/>
        <w:style w:val=""/>
        <w:category>
          <w:name w:val="常规"/>
          <w:gallery w:val="placeholder"/>
        </w:category>
        <w:types>
          <w:type w:val="bbPlcHdr"/>
        </w:types>
        <w:behaviors>
          <w:behavior w:val="content"/>
        </w:behaviors>
        <w:description w:val=""/>
        <w:guid w:val="{7FD9F490-C376-4582-85DA-4BC40D1FEBAF}"/>
      </w:docPartPr>
      <w:docPartBody>
        <w:p w14:paraId="6BF55EE5">
          <w:pPr>
            <w:pStyle w:val="5"/>
          </w:pPr>
          <w:r>
            <w:rPr>
              <w:rStyle w:val="4"/>
              <w:rFonts w:hint="eastAsia"/>
            </w:rPr>
            <w:t>单击或点击此处输入文字。</w:t>
          </w:r>
        </w:p>
      </w:docPartBody>
    </w:docPart>
    <w:docPart>
      <w:docPartPr>
        <w:name w:val="9F5A3C1B2FD646278829086113A4E440"/>
        <w:style w:val=""/>
        <w:category>
          <w:name w:val="常规"/>
          <w:gallery w:val="placeholder"/>
        </w:category>
        <w:types>
          <w:type w:val="bbPlcHdr"/>
        </w:types>
        <w:behaviors>
          <w:behavior w:val="content"/>
        </w:behaviors>
        <w:description w:val=""/>
        <w:guid w:val="{86D4F7F4-968C-416D-B3FE-8AAA21288519}"/>
      </w:docPartPr>
      <w:docPartBody>
        <w:p w14:paraId="38A88365">
          <w:pPr>
            <w:pStyle w:val="6"/>
          </w:pPr>
          <w:r>
            <w:rPr>
              <w:rStyle w:val="4"/>
              <w:rFonts w:hint="eastAsia"/>
            </w:rPr>
            <w:t>选择一项。</w:t>
          </w:r>
        </w:p>
      </w:docPartBody>
    </w:docPart>
    <w:docPart>
      <w:docPartPr>
        <w:name w:val="901FA82EACB94A8FBC11A5EDE9F4F886"/>
        <w:style w:val=""/>
        <w:category>
          <w:name w:val="常规"/>
          <w:gallery w:val="placeholder"/>
        </w:category>
        <w:types>
          <w:type w:val="bbPlcHdr"/>
        </w:types>
        <w:behaviors>
          <w:behavior w:val="content"/>
        </w:behaviors>
        <w:description w:val=""/>
        <w:guid w:val="{2136CD87-3AB9-4A1F-AF45-D6AE71E59509}"/>
      </w:docPartPr>
      <w:docPartBody>
        <w:p w14:paraId="79486E3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08A"/>
    <w:rsid w:val="0007499A"/>
    <w:rsid w:val="000B3FD3"/>
    <w:rsid w:val="002C0130"/>
    <w:rsid w:val="00434B91"/>
    <w:rsid w:val="00514997"/>
    <w:rsid w:val="00861237"/>
    <w:rsid w:val="009F1950"/>
    <w:rsid w:val="00A359B1"/>
    <w:rsid w:val="00B8508A"/>
    <w:rsid w:val="00BF571A"/>
    <w:rsid w:val="00D16281"/>
    <w:rsid w:val="00D31007"/>
    <w:rsid w:val="00E75BF8"/>
    <w:rsid w:val="00F166E4"/>
    <w:rsid w:val="00FD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0A2ED1EE0C14EC3B0993F865815557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F5A3C1B2FD646278829086113A4E44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01FA82EACB94A8FBC11A5EDE9F4F88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6E7FA-E063-4A13-930B-2EA1332DB47D}">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17</Pages>
  <Words>4425</Words>
  <Characters>4845</Characters>
  <Lines>103</Lines>
  <Paragraphs>29</Paragraphs>
  <TotalTime>3</TotalTime>
  <ScaleCrop>false</ScaleCrop>
  <LinksUpToDate>false</LinksUpToDate>
  <CharactersWithSpaces>4931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2024-11-01T00:39:00Z</dcterms:created>
  <dc:creator>ADMIN</dc:creator>
  <dc:description>&lt;config cover="true" show_menu="true" version="1.0.0" doctype="SDKXY"&gt;_x000d_
&lt;/config&gt;</dc:description>
  <cp:lastModifiedBy>四川省场馆协会</cp:lastModifiedBy>
  <cp:lastPrinted>2021-02-02T08:22:00Z</cp:lastPrinted>
  <dcterms:modified xsi:type="dcterms:W3CDTF">2026-03-30T09:06:42Z</dcterms:modified>
  <dc:title>团体标准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84E67410E19940B88528B74C119EEB07_13</vt:lpwstr>
  </property>
  <property fmtid="{D5CDD505-2E9C-101B-9397-08002B2CF9AE}" pid="16" name="KSOTemplateDocerSaveRecord">
    <vt:lpwstr>eyJoZGlkIjoiYTdlMDM1ODFkMTQ1MjE2ZWZjYzY2MDM0MWUyNDUzOGIiLCJ1c2VySWQiOiIzNTgzNTk1NzEifQ==</vt:lpwstr>
  </property>
  <property fmtid="{D5CDD505-2E9C-101B-9397-08002B2CF9AE}" pid="17" name="DoublePage">
    <vt:lpwstr>true</vt:lpwstr>
  </property>
</Properties>
</file>