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四川省体育场馆协会专家委员会管理办法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为进一步加强四川省体育场馆协会专家队伍的建设和管理，充分发挥体育场馆行业专家的智囊作用，有效推动行业高质量发展，根据《社会团体登记管理条例》等相关法规政策规定以及《四川省体育场馆协会章程》有关规定，特制定本办法。</w:t>
      </w:r>
    </w:p>
    <w:p>
      <w:pPr>
        <w:pStyle w:val="2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第一章 总则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专家委员会（以下简称“专委会”）是四川省体育场馆协会（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以下简称“协会”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）的智库，遵守协会章程，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受协会统一领导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，接受行业管理部门的业务指导。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及时了解和掌握行业发展情况，破解行业发展难题，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为行业发展建言献策，为行业提供专业技术咨询和服务，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促进和指导行业发展。</w:t>
      </w:r>
    </w:p>
    <w:p>
      <w:pPr>
        <w:pStyle w:val="2"/>
        <w:spacing w:before="156" w:after="156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第二章 组织机构和职责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专家委员会成员由委员和专家组成，每届任期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 w:bidi="ar"/>
        </w:rPr>
        <w:t>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年。根据业务需要，设置</w:t>
      </w:r>
      <w:r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个专业委员会，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分别为：场馆建设咨询与设计专业委员会、场馆运营管理专业委员会、场馆功能验收专业委员会、体育工艺专业委员会、体育照明专业委员会。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FF0000"/>
          <w:kern w:val="0"/>
          <w:sz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专家委员会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设主任委员1人</w:t>
      </w:r>
      <w:r>
        <w:rPr>
          <w:rFonts w:hint="eastAsia" w:ascii="宋体" w:hAnsi="宋体" w:eastAsia="宋体" w:cs="宋体"/>
          <w:color w:val="auto"/>
          <w:kern w:val="0"/>
          <w:sz w:val="24"/>
          <w:lang w:bidi="ar"/>
        </w:rPr>
        <w:t>、副主任委员1-5人、委员、专家若干人；秘书处设秘书长1人、副秘书长1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 w:bidi="ar"/>
        </w:rPr>
        <w:t>—</w:t>
      </w:r>
      <w:r>
        <w:rPr>
          <w:rFonts w:hint="eastAsia" w:ascii="宋体" w:hAnsi="宋体" w:eastAsia="宋体" w:cs="宋体"/>
          <w:color w:val="auto"/>
          <w:kern w:val="0"/>
          <w:sz w:val="24"/>
          <w:lang w:bidi="ar"/>
        </w:rPr>
        <w:t>3人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 w:bidi="ar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Hans" w:bidi="ar"/>
        </w:rPr>
        <w:t>各专业委员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Hans" w:bidi="ar"/>
        </w:rPr>
        <w:t>分别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Hans" w:bidi="ar"/>
        </w:rPr>
        <w:t>设置负责人</w:t>
      </w:r>
      <w:r>
        <w:rPr>
          <w:rFonts w:hint="default" w:ascii="宋体" w:hAnsi="宋体" w:eastAsia="宋体" w:cs="宋体"/>
          <w:color w:val="auto"/>
          <w:kern w:val="0"/>
          <w:sz w:val="24"/>
          <w:lang w:eastAsia="zh-Hans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Hans" w:bidi="ar"/>
        </w:rPr>
        <w:t>人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 w:bidi="ar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主任委员应由本专业领域具有影响力的领军人物担任，由协会秘书处提名，经协会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审定通过后发聘任证书。主任委员负责领导专家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的全面工作，行使下列职责：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召集和主持专家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全体人员会议，代表专家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报告工作；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指导秘书处开展工作。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副主任委员由协会秘书处提名，经协会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研究决定后发聘任证书，协助主任委员开展工作。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委员、专家依据专家申报要求自愿填写申报书，经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秘书处审核通过后提交协会秘书处，上报协会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研究确定。</w:t>
      </w:r>
    </w:p>
    <w:p>
      <w:pPr>
        <w:widowControl/>
        <w:spacing w:line="360" w:lineRule="auto"/>
        <w:ind w:firstLine="482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第八条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专家应由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在本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专业领域具有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一定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影响力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和知名度的人物担任。专委会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从专家中产生，应由在本专业领域具有较高知名度的专业带头人担任。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秘书长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、副秘书长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由协会秘书处提名，经主任委员、副主任委员和协会秘书处审核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提交协会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研究决定。秘书处工作职责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如下：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（一）负责日常工作的组织、开展、协调、管理和监督；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（二）提出工作计划建议；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（三）制定内部管理制度；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（四）负责信息发布和管理；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（五）协调各专业组工作；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（六）负责组织开展交流合作活动；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（七）协会交付的其他工作。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根据《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四川省体育场馆协会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协会章程》规定，专家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主要职责为：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体育场馆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行业发展的方针政策、技术创新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开展调查研究，提出可操作的意见和建议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制定行业发展规划、开展行业相关的课题研究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）承担协会团体标准的制修订工作，完善行业技术标准体系、技术法规体系和评定体系；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开展技术服务工作，接受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关社会团体、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企事业单位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的委托，承担相关业务咨询工作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（五）组织开展专业培训、讲座、开展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行业内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交流与合作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156" w:after="156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第三章 专家成员的管理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申报条件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（一）受聘专家应长期从事与本行业相关的专业工作，在本专业范围具有一定建树，有较好的专业理论知识和丰富的实践经验，在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行业具有较高的威望和影响力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遵守协会章程和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专家委员会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，有良好的职业道德和学术道德，敬业求真，开拓创新；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权利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（一）参加专家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组织的各类专业技术活动和会议；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（二）获得专家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提供的相关业务资料；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（三）向专家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提出工作意见和建议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义务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（一）遵守相关法律法规和《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四川省体育场馆协会章程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四川省体育场馆协会专家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委员会管理办法》等规定；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（二）遵守政府、企业等相关方（服务对象）的保密制度；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（三）不得从事有损协会及专家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声誉的活动；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）未经专家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许可，不得以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协会受聘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专家名义组织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聘任与解聘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聘任程序：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（一）专家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半年或一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年组织一次公开遴选，遴选通知在协会网站公开发布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（二）申请人按要求向秘书处提交《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四川省体育场馆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协会专家委员会专家申报表》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三）经协会秘书处审核通过后提交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，研究确定专家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委员和专家，并在协会网站进行公示五个工作日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（四）公示结束后，如无异议，经协会秘书处批准，颁发《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四川省体育场馆协会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专家委员会专家聘书》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根据工作需要和专家库资源情况，临时聘用短期从事具体项目的专家，经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主任同意后由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专家委员会秘书处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签约管理。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解聘程序：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（一）聘期内因故不适宜继续担任专家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的，由本人提出书面报告，经协会秘书处同意批准后予以解聘；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（二）聘期内有严重违反《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四川省体育场馆协会章程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四川省体育场馆协会专家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委员会管理办法》的，经协会秘书处批准后予以解聘；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（三）聘期内利用委员或专家身份谋求不正当利益的，经协会秘书处批准后予以解聘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四）委员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聘任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满后未提交续聘申请的，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视为自动离聘。</w:t>
      </w:r>
    </w:p>
    <w:p>
      <w:pPr>
        <w:pStyle w:val="2"/>
        <w:spacing w:before="156" w:after="156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章  工作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制度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全体会议一般每年召开一次，总结本年度工作，研究制定下一年度工作计划。专家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讨论重要事项、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作出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重大决定时，可临时召开全体会议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有关部门和企业邀请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派出专家参加调查研究、咨询服务或专业鉴定等活动，由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秘书处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根据活动的内容、时间、地点、方式等提出建议参加专家人选，经协会同意和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主任批准后，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秘书处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负责组织实施。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专家委员会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以及受聘专家开展活动所需要的工作经费由协会统一安排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对承担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咨询服务项目的专家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参照《中央财政科研项目专家咨询费管理办法》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发放工作报酬。</w:t>
      </w:r>
    </w:p>
    <w:p>
      <w:pPr>
        <w:pStyle w:val="2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第六章  监督管理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十八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专家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应加强自律，接受协会和社会监督。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受聘专家签署《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四川省体育场馆协会专家委员会工作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承诺书》，对工作纪律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和保密事项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作出承诺。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组织专家开展活动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秘书处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根据具体活动的内容、性质和特点以口头或书面方式提出保密要求和纪律要求。专家在开展委托活动或咨询服务过程中，对涉及的商业秘密承担保密责任，活动内容未经允许不得向第三方泄露。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受聘专家应珍惜参与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工作的机会和荣誉，加强自律，自觉维护协会和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的利益和声誉，不得以协会受聘专家的名义自行参与未经协会或专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安排或授权开展的活动。除专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直接安排或授权参与的活动外，受聘专家参与其他活动所产生的民事纠纷和法律责任均由本人承担。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受聘专家在咨询、评审等活动中，不得超越政策规定收受报酬和其他礼品。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对于不履行个人义务的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成员，经协会秘书处讨论后，可予以警告或除名处理。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对违反国家法律、法规和本管理办法的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成员，予以除名。</w:t>
      </w:r>
    </w:p>
    <w:p>
      <w:pPr>
        <w:pStyle w:val="2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第七章  附则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本办法自发布之日起施行。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Hans" w:bidi="ar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本办法由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Hans" w:bidi="ar"/>
          <w14:textFill>
            <w14:solidFill>
              <w14:schemeClr w14:val="tx1"/>
            </w14:solidFill>
          </w14:textFill>
        </w:rPr>
        <w:t>四川省体育场馆协会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wMGNhOTU4N2M5YzJiMjBmZWQxYmUwODhlMDZlYTMifQ=="/>
  </w:docVars>
  <w:rsids>
    <w:rsidRoot w:val="00597544"/>
    <w:rsid w:val="00597544"/>
    <w:rsid w:val="005B2698"/>
    <w:rsid w:val="00F547F5"/>
    <w:rsid w:val="094B084B"/>
    <w:rsid w:val="12FF38E8"/>
    <w:rsid w:val="15BB8EE0"/>
    <w:rsid w:val="15FE8E40"/>
    <w:rsid w:val="17B4C665"/>
    <w:rsid w:val="17FA1DA4"/>
    <w:rsid w:val="1F7E2A8B"/>
    <w:rsid w:val="2BDF6B05"/>
    <w:rsid w:val="2EB73F91"/>
    <w:rsid w:val="2F547767"/>
    <w:rsid w:val="339D9AE0"/>
    <w:rsid w:val="3D245247"/>
    <w:rsid w:val="3DFF4E05"/>
    <w:rsid w:val="3F017E40"/>
    <w:rsid w:val="3FB68589"/>
    <w:rsid w:val="3FFE7D35"/>
    <w:rsid w:val="47EF8A88"/>
    <w:rsid w:val="56FFD112"/>
    <w:rsid w:val="5BFFED21"/>
    <w:rsid w:val="5C015229"/>
    <w:rsid w:val="5DDF119C"/>
    <w:rsid w:val="5FAC67F8"/>
    <w:rsid w:val="63FEC1DB"/>
    <w:rsid w:val="6557BC83"/>
    <w:rsid w:val="65790C4A"/>
    <w:rsid w:val="67B13D35"/>
    <w:rsid w:val="6FB7083A"/>
    <w:rsid w:val="73E7B0E3"/>
    <w:rsid w:val="773EB471"/>
    <w:rsid w:val="776BD1E1"/>
    <w:rsid w:val="7BFDD2E2"/>
    <w:rsid w:val="7FFDE5AF"/>
    <w:rsid w:val="99E464A5"/>
    <w:rsid w:val="9C1F8496"/>
    <w:rsid w:val="9DFB1620"/>
    <w:rsid w:val="9FB7B1CF"/>
    <w:rsid w:val="9FF4C7D9"/>
    <w:rsid w:val="A5ADCB9C"/>
    <w:rsid w:val="AABF0B53"/>
    <w:rsid w:val="ABEE7253"/>
    <w:rsid w:val="ADFF4211"/>
    <w:rsid w:val="B7BF97DF"/>
    <w:rsid w:val="BFDF4897"/>
    <w:rsid w:val="BFFE11BD"/>
    <w:rsid w:val="BFFF9D72"/>
    <w:rsid w:val="C2DEC8C8"/>
    <w:rsid w:val="C7FAAC7F"/>
    <w:rsid w:val="DBBE5686"/>
    <w:rsid w:val="DD6CC0D0"/>
    <w:rsid w:val="DDADB4E7"/>
    <w:rsid w:val="DFBFC092"/>
    <w:rsid w:val="DFD37FF8"/>
    <w:rsid w:val="DFFB260E"/>
    <w:rsid w:val="E8736DD0"/>
    <w:rsid w:val="EF7C92C4"/>
    <w:rsid w:val="EFADD842"/>
    <w:rsid w:val="EFCE130D"/>
    <w:rsid w:val="EFDC39D0"/>
    <w:rsid w:val="F3EF31D5"/>
    <w:rsid w:val="F4C1AE4F"/>
    <w:rsid w:val="F4FEC1D2"/>
    <w:rsid w:val="F6FBA533"/>
    <w:rsid w:val="F7A74203"/>
    <w:rsid w:val="FBFA6E68"/>
    <w:rsid w:val="FBFF25A7"/>
    <w:rsid w:val="FCEF5C80"/>
    <w:rsid w:val="FD3D8CD4"/>
    <w:rsid w:val="FDF6F001"/>
    <w:rsid w:val="FDFAB97D"/>
    <w:rsid w:val="FF1F47FC"/>
    <w:rsid w:val="FFED1FEF"/>
    <w:rsid w:val="FFF98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nyi\Library\Containers\com.kingsoft.wpsoffice.mac\Data\D:\Users\xianyi\Desktop\2-&#31649;&#29702;&#21150;&#27861;-&#33609;&#2669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2-管理办法-草案.dotx</Template>
  <Pages>5</Pages>
  <Words>2622</Words>
  <Characters>2626</Characters>
  <Lines>20</Lines>
  <Paragraphs>5</Paragraphs>
  <TotalTime>19</TotalTime>
  <ScaleCrop>false</ScaleCrop>
  <LinksUpToDate>false</LinksUpToDate>
  <CharactersWithSpaces>2663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2023-01-19T23:18:00Z</dcterms:created>
  <dc:creator>Microsoft Office User</dc:creator>
  <cp:lastModifiedBy>四川省场馆协会</cp:lastModifiedBy>
  <cp:lastPrinted>2023-01-31T15:33:00Z</cp:lastPrinted>
  <dcterms:modified xsi:type="dcterms:W3CDTF">2023-03-13T02:25:40Z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5C7F095D94CC42239279D237CE2DE0C2</vt:lpwstr>
  </property>
</Properties>
</file>